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F72E" w14:textId="39582F75" w:rsidR="00C51528" w:rsidRDefault="00C438DF" w:rsidP="00C51528">
      <w:pPr>
        <w:pStyle w:val="Heading"/>
      </w:pPr>
      <w:r>
        <w:t xml:space="preserve">Qualification </w:t>
      </w:r>
      <w:r w:rsidR="0027141B">
        <w:t>T</w:t>
      </w:r>
      <w:r>
        <w:t xml:space="preserve">itle: </w:t>
      </w:r>
      <w:r w:rsidR="00C51528">
        <w:t>SVQ 3</w:t>
      </w:r>
      <w:r w:rsidR="00C51528">
        <w:t xml:space="preserve"> Fabrication Of Glass Supporting</w:t>
      </w:r>
    </w:p>
    <w:p w14:paraId="7EE37969" w14:textId="4B5B1AB7" w:rsidR="00F74BD5" w:rsidRDefault="00C51528" w:rsidP="00C51528">
      <w:pPr>
        <w:pStyle w:val="Heading"/>
      </w:pPr>
      <w:r>
        <w:t xml:space="preserve">Systems at </w:t>
      </w:r>
      <w:r>
        <w:t xml:space="preserve">SCQF </w:t>
      </w:r>
      <w:r>
        <w:t>Level</w:t>
      </w:r>
      <w:r>
        <w:t xml:space="preserve"> 6</w:t>
      </w:r>
    </w:p>
    <w:p w14:paraId="7D7144D5" w14:textId="54FD456C" w:rsidR="00530347" w:rsidRDefault="00FA2561" w:rsidP="00F74BD5">
      <w:pPr>
        <w:pStyle w:val="Heading"/>
      </w:pPr>
      <w:r w:rsidRPr="00FA2561">
        <w:t>Group Award Number</w:t>
      </w:r>
      <w:r w:rsidR="00C438DF">
        <w:t xml:space="preserve">: </w:t>
      </w:r>
      <w:r w:rsidR="00FD738B" w:rsidRPr="00FD738B">
        <w:t>GJ96 23</w:t>
      </w:r>
    </w:p>
    <w:p w14:paraId="7D6A9C48" w14:textId="25405DF2" w:rsidR="00530347" w:rsidRDefault="00C438DF" w:rsidP="009C46BB">
      <w:pPr>
        <w:pStyle w:val="Heading"/>
      </w:pPr>
      <w:r w:rsidRPr="00326F15">
        <w:t xml:space="preserve">Qualification </w:t>
      </w:r>
      <w:r w:rsidR="0027141B" w:rsidRPr="00326F15">
        <w:t>S</w:t>
      </w:r>
      <w:r w:rsidRPr="00326F15">
        <w:t xml:space="preserve">pecification  </w:t>
      </w:r>
    </w:p>
    <w:p w14:paraId="3160D944" w14:textId="77777777" w:rsidR="005E1BAB" w:rsidRPr="00326F15" w:rsidRDefault="005E1BAB" w:rsidP="00FA2561">
      <w:pPr>
        <w:pStyle w:val="mainbody"/>
      </w:pPr>
    </w:p>
    <w:p w14:paraId="4D89E150" w14:textId="35C8FDD2" w:rsidR="00530347" w:rsidRPr="00D80D05" w:rsidRDefault="00C438DF" w:rsidP="009C46BB">
      <w:pPr>
        <w:pStyle w:val="Heading1"/>
      </w:pPr>
      <w:r w:rsidRPr="00D80D05">
        <w:t xml:space="preserve">Who is this qualification for? </w:t>
      </w:r>
    </w:p>
    <w:p w14:paraId="09395270" w14:textId="04E5F299" w:rsidR="00FD738B" w:rsidRDefault="00FD738B" w:rsidP="00FD738B">
      <w:pPr>
        <w:pStyle w:val="Heading1"/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>This qualification is aimed at those who undertake work to produce fabricated products such as door and window frames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and units, conservatories, and glazing systems used in curtain walling etc. Units in this qualification cover the processing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fabrication of frames by joining and assembly. It is not expected that candidates working in this area all do the same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activities: the qualification is structured to endure that there is a high degree of flexibility in the qualification, although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there are common units in the mandatory section of the qualification. The standard covers the most important aspects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of the job. Completion of this Level 3 qualification requires candidates to show they have the skills and knowledge to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work unsupervised in completing their work and should also have the ability and experience to deal with problems that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can occur. Level 3 candidates are often expected to provide advice, support and guidance to colleagues, particularly those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with less experience.</w:t>
      </w:r>
    </w:p>
    <w:p w14:paraId="049881D8" w14:textId="77777777" w:rsidR="00FD738B" w:rsidRPr="00FD738B" w:rsidRDefault="00FD738B" w:rsidP="00FD738B"/>
    <w:p w14:paraId="271E17E2" w14:textId="1F8779B7" w:rsidR="00FD738B" w:rsidRPr="00FD738B" w:rsidRDefault="00FD738B" w:rsidP="00FD738B">
      <w:pPr>
        <w:pStyle w:val="Heading1"/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>Candidates for this qualification could be assessed in the context of fabricating Windows and Doors, Curtain Walling,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Screen Walling or Conservatories. Candidates for this qualification will primarily be:</w:t>
      </w:r>
    </w:p>
    <w:p w14:paraId="43FE7911" w14:textId="1519BC03" w:rsid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 xml:space="preserve">Working in frame fabrication factories </w:t>
      </w:r>
    </w:p>
    <w:p w14:paraId="0033A1A2" w14:textId="5FEBED39" w:rsid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 xml:space="preserve">Working with </w:t>
      </w:r>
      <w:r w:rsidRPr="00FD738B">
        <w:rPr>
          <w:b w:val="0"/>
          <w:noProof w:val="0"/>
          <w:color w:val="auto"/>
          <w:sz w:val="22"/>
          <w:szCs w:val="20"/>
        </w:rPr>
        <w:t>non-glass</w:t>
      </w:r>
      <w:r w:rsidRPr="00FD738B">
        <w:rPr>
          <w:b w:val="0"/>
          <w:noProof w:val="0"/>
          <w:color w:val="auto"/>
          <w:sz w:val="22"/>
          <w:szCs w:val="20"/>
        </w:rPr>
        <w:t xml:space="preserve"> materials or</w:t>
      </w:r>
      <w:r>
        <w:rPr>
          <w:b w:val="0"/>
          <w:noProof w:val="0"/>
          <w:color w:val="auto"/>
          <w:sz w:val="22"/>
          <w:szCs w:val="20"/>
        </w:rPr>
        <w:t xml:space="preserve"> </w:t>
      </w:r>
      <w:r w:rsidRPr="00FD738B">
        <w:rPr>
          <w:b w:val="0"/>
          <w:noProof w:val="0"/>
          <w:color w:val="auto"/>
          <w:sz w:val="22"/>
          <w:szCs w:val="20"/>
        </w:rPr>
        <w:t>semi-finished products</w:t>
      </w:r>
    </w:p>
    <w:p w14:paraId="431C2C6B" w14:textId="77777777" w:rsidR="00FD738B" w:rsidRPr="00FD738B" w:rsidRDefault="00FD738B" w:rsidP="00FD738B"/>
    <w:p w14:paraId="57CC7634" w14:textId="77777777" w:rsidR="00FD738B" w:rsidRPr="00FD738B" w:rsidRDefault="00FD738B" w:rsidP="00FD738B">
      <w:pPr>
        <w:pStyle w:val="Heading1"/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>Candidates could have jobs entitled:</w:t>
      </w:r>
    </w:p>
    <w:p w14:paraId="00E8954F" w14:textId="77777777" w:rsid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  <w:sectPr w:rsidR="00FD738B" w:rsidSect="00DF06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505" w:footer="691" w:gutter="0"/>
          <w:cols w:space="720"/>
          <w:titlePg/>
          <w:docGrid w:linePitch="272"/>
        </w:sectPr>
      </w:pPr>
    </w:p>
    <w:p w14:paraId="707F2F52" w14:textId="34A0339B" w:rsid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 xml:space="preserve">Aluminium Fabricator </w:t>
      </w:r>
    </w:p>
    <w:p w14:paraId="59DF8521" w14:textId="701CEEDD" w:rsidR="00FD738B" w:rsidRP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proofErr w:type="spellStart"/>
      <w:r w:rsidRPr="00FD738B">
        <w:rPr>
          <w:b w:val="0"/>
          <w:noProof w:val="0"/>
          <w:color w:val="auto"/>
          <w:sz w:val="22"/>
          <w:szCs w:val="20"/>
        </w:rPr>
        <w:t>PVCu</w:t>
      </w:r>
      <w:proofErr w:type="spellEnd"/>
      <w:r w:rsidRPr="00FD738B">
        <w:rPr>
          <w:b w:val="0"/>
          <w:noProof w:val="0"/>
          <w:color w:val="auto"/>
          <w:sz w:val="22"/>
          <w:szCs w:val="20"/>
        </w:rPr>
        <w:t xml:space="preserve"> Fabricator</w:t>
      </w:r>
    </w:p>
    <w:p w14:paraId="7DD5D8E1" w14:textId="21048BCC" w:rsid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 xml:space="preserve">Conservatory Fabricator </w:t>
      </w:r>
    </w:p>
    <w:p w14:paraId="6F031BDA" w14:textId="4673E029" w:rsidR="00FD738B" w:rsidRP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>Screen Walling Fabricator</w:t>
      </w:r>
    </w:p>
    <w:p w14:paraId="40CE9592" w14:textId="666B5092" w:rsid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 xml:space="preserve">Curtain Walling Fabricator </w:t>
      </w:r>
    </w:p>
    <w:p w14:paraId="6550645E" w14:textId="3DFEDC69" w:rsidR="00FD738B" w:rsidRP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>Window and Door Maker</w:t>
      </w:r>
    </w:p>
    <w:p w14:paraId="2DFB4B2A" w14:textId="755A8D25" w:rsid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 xml:space="preserve">Fabricator </w:t>
      </w:r>
    </w:p>
    <w:p w14:paraId="582752D2" w14:textId="2DE5BEF3" w:rsidR="00FD738B" w:rsidRP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r w:rsidRPr="00FD738B">
        <w:rPr>
          <w:b w:val="0"/>
          <w:noProof w:val="0"/>
          <w:color w:val="auto"/>
          <w:sz w:val="22"/>
          <w:szCs w:val="20"/>
        </w:rPr>
        <w:t>Window Fabricator</w:t>
      </w:r>
    </w:p>
    <w:p w14:paraId="5BAEE198" w14:textId="61DB4984" w:rsidR="00FD738B" w:rsidRDefault="00FD738B" w:rsidP="00FD738B">
      <w:pPr>
        <w:pStyle w:val="Heading1"/>
        <w:numPr>
          <w:ilvl w:val="0"/>
          <w:numId w:val="31"/>
        </w:numPr>
        <w:rPr>
          <w:b w:val="0"/>
          <w:noProof w:val="0"/>
          <w:color w:val="auto"/>
          <w:sz w:val="22"/>
          <w:szCs w:val="20"/>
        </w:rPr>
      </w:pPr>
      <w:proofErr w:type="spellStart"/>
      <w:r w:rsidRPr="00FD738B">
        <w:rPr>
          <w:b w:val="0"/>
          <w:noProof w:val="0"/>
          <w:color w:val="auto"/>
          <w:sz w:val="22"/>
          <w:szCs w:val="20"/>
        </w:rPr>
        <w:t>Framemaker</w:t>
      </w:r>
      <w:proofErr w:type="spellEnd"/>
    </w:p>
    <w:p w14:paraId="2CE7283E" w14:textId="77777777" w:rsidR="00FD738B" w:rsidRDefault="00FD738B" w:rsidP="00FD738B">
      <w:pPr>
        <w:pStyle w:val="Heading1"/>
        <w:rPr>
          <w:b w:val="0"/>
          <w:noProof w:val="0"/>
          <w:color w:val="auto"/>
          <w:sz w:val="22"/>
          <w:szCs w:val="20"/>
        </w:rPr>
        <w:sectPr w:rsidR="00FD738B" w:rsidSect="00FD738B">
          <w:type w:val="continuous"/>
          <w:pgSz w:w="11906" w:h="16838"/>
          <w:pgMar w:top="1134" w:right="1134" w:bottom="1134" w:left="1134" w:header="505" w:footer="691" w:gutter="0"/>
          <w:cols w:num="2" w:space="720"/>
          <w:titlePg/>
          <w:docGrid w:linePitch="272"/>
        </w:sectPr>
      </w:pPr>
    </w:p>
    <w:p w14:paraId="37FEDADF" w14:textId="75B49C90" w:rsidR="00FD738B" w:rsidRDefault="00FD738B" w:rsidP="00FD738B">
      <w:pPr>
        <w:pStyle w:val="Heading1"/>
        <w:rPr>
          <w:b w:val="0"/>
          <w:noProof w:val="0"/>
          <w:color w:val="auto"/>
          <w:sz w:val="22"/>
          <w:szCs w:val="20"/>
        </w:rPr>
      </w:pPr>
    </w:p>
    <w:p w14:paraId="2CC288D4" w14:textId="5F115BE2" w:rsidR="00530347" w:rsidRPr="00FE639E" w:rsidRDefault="00C438DF" w:rsidP="00FD738B">
      <w:pPr>
        <w:pStyle w:val="Heading1"/>
      </w:pPr>
      <w:r w:rsidRPr="00FE639E">
        <w:t xml:space="preserve">Entry requirements </w:t>
      </w:r>
    </w:p>
    <w:p w14:paraId="3E07E5A9" w14:textId="61A12374" w:rsidR="00530347" w:rsidRDefault="00C438DF" w:rsidP="00326F15">
      <w:pPr>
        <w:pStyle w:val="mainbody"/>
      </w:pPr>
      <w:r>
        <w:t xml:space="preserve">There are no formal entry requirements for learners undertaking this qualification. However, centres must ensure that learners have the potential and opportunity to gain the qualification successfully. </w:t>
      </w:r>
    </w:p>
    <w:p w14:paraId="7DDA0901" w14:textId="77777777" w:rsidR="00F373B2" w:rsidRDefault="00F373B2" w:rsidP="00326F15">
      <w:pPr>
        <w:pStyle w:val="mainbody"/>
      </w:pPr>
    </w:p>
    <w:p w14:paraId="79232FE4" w14:textId="77777777" w:rsidR="00FD738B" w:rsidRDefault="00FD738B">
      <w:pPr>
        <w:spacing w:after="160"/>
        <w:ind w:left="0" w:firstLine="0"/>
        <w:jc w:val="left"/>
        <w:rPr>
          <w:rFonts w:asciiTheme="minorHAnsi" w:hAnsiTheme="minorHAnsi" w:cs="Calibri"/>
          <w:b/>
          <w:noProof/>
          <w:color w:val="00B050"/>
          <w:sz w:val="24"/>
          <w:szCs w:val="28"/>
        </w:rPr>
      </w:pPr>
      <w:r>
        <w:br w:type="page"/>
      </w:r>
    </w:p>
    <w:p w14:paraId="5CA5F410" w14:textId="3AFF8F24" w:rsidR="009C46BB" w:rsidRPr="00D80D05" w:rsidRDefault="009C46BB" w:rsidP="009C46BB">
      <w:pPr>
        <w:pStyle w:val="Heading1"/>
      </w:pPr>
      <w:r w:rsidRPr="00D80D05">
        <w:lastRenderedPageBreak/>
        <w:t xml:space="preserve">Qualification support </w:t>
      </w:r>
    </w:p>
    <w:p w14:paraId="6590F119" w14:textId="693F16A5" w:rsidR="009C46BB" w:rsidRDefault="009C46BB" w:rsidP="00326F15">
      <w:pPr>
        <w:pStyle w:val="mainbody"/>
      </w:pPr>
      <w:r>
        <w:t xml:space="preserve">This qualification has been designed and developed by GQA Qualifications with the support </w:t>
      </w:r>
      <w:r w:rsidR="00CD31A6">
        <w:t xml:space="preserve">of </w:t>
      </w:r>
      <w:proofErr w:type="spellStart"/>
      <w:r w:rsidR="005A04AF">
        <w:t>Proskills</w:t>
      </w:r>
      <w:proofErr w:type="spellEnd"/>
      <w:r w:rsidR="005A04AF">
        <w:t>.</w:t>
      </w:r>
    </w:p>
    <w:p w14:paraId="50026A85" w14:textId="1B0652DF" w:rsidR="00530347" w:rsidRDefault="00530347" w:rsidP="00326F15">
      <w:pPr>
        <w:pStyle w:val="mainbody"/>
      </w:pPr>
    </w:p>
    <w:p w14:paraId="07BD6043" w14:textId="35CE1DB6" w:rsidR="00530347" w:rsidRDefault="00C438DF" w:rsidP="009C46BB">
      <w:pPr>
        <w:pStyle w:val="Heading1"/>
      </w:pPr>
      <w:r w:rsidRPr="00D80D05">
        <w:t xml:space="preserve">Regulatory information </w:t>
      </w:r>
    </w:p>
    <w:tbl>
      <w:tblPr>
        <w:tblStyle w:val="TableGrid"/>
        <w:tblW w:w="9682" w:type="dxa"/>
        <w:tblInd w:w="5" w:type="dxa"/>
        <w:tblCellMar>
          <w:top w:w="56" w:type="dxa"/>
          <w:left w:w="110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841"/>
      </w:tblGrid>
      <w:tr w:rsidR="00530347" w14:paraId="63B9C735" w14:textId="77777777" w:rsidTr="00326F15">
        <w:trPr>
          <w:trHeight w:val="397"/>
        </w:trPr>
        <w:tc>
          <w:tcPr>
            <w:tcW w:w="4841" w:type="dxa"/>
            <w:tcBorders>
              <w:top w:val="single" w:sz="6" w:space="0" w:color="595959"/>
              <w:left w:val="single" w:sz="4" w:space="0" w:color="595959"/>
              <w:bottom w:val="single" w:sz="6" w:space="0" w:color="595959"/>
              <w:right w:val="single" w:sz="6" w:space="0" w:color="595959"/>
            </w:tcBorders>
          </w:tcPr>
          <w:p w14:paraId="70DCA7F1" w14:textId="1CC47846" w:rsidR="00530347" w:rsidRDefault="00971C39" w:rsidP="00326F15">
            <w:pPr>
              <w:pStyle w:val="mainbody"/>
            </w:pPr>
            <w:r>
              <w:t>Accredited from:</w:t>
            </w:r>
            <w:r w:rsidR="00C438DF">
              <w:t xml:space="preserve"> </w:t>
            </w:r>
          </w:p>
        </w:tc>
        <w:tc>
          <w:tcPr>
            <w:tcW w:w="48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4" w:space="0" w:color="595959"/>
            </w:tcBorders>
            <w:vAlign w:val="center"/>
          </w:tcPr>
          <w:p w14:paraId="5C23C7ED" w14:textId="15AA43C6" w:rsidR="00530347" w:rsidRDefault="00F76744" w:rsidP="00326F15">
            <w:pPr>
              <w:pStyle w:val="mainbody"/>
            </w:pPr>
            <w:r w:rsidRPr="00F76744">
              <w:t>06/08/2014</w:t>
            </w:r>
          </w:p>
        </w:tc>
      </w:tr>
      <w:tr w:rsidR="00530347" w14:paraId="07079A36" w14:textId="77777777" w:rsidTr="00326F15">
        <w:trPr>
          <w:trHeight w:val="397"/>
        </w:trPr>
        <w:tc>
          <w:tcPr>
            <w:tcW w:w="4841" w:type="dxa"/>
            <w:tcBorders>
              <w:top w:val="single" w:sz="6" w:space="0" w:color="595959"/>
              <w:left w:val="single" w:sz="4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1C1C9C" w14:textId="2FFB7D13" w:rsidR="00530347" w:rsidRDefault="00971C39" w:rsidP="00326F15">
            <w:pPr>
              <w:pStyle w:val="mainbody"/>
            </w:pPr>
            <w:r>
              <w:t>Accredited to:</w:t>
            </w:r>
          </w:p>
        </w:tc>
        <w:tc>
          <w:tcPr>
            <w:tcW w:w="48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4" w:space="0" w:color="595959"/>
            </w:tcBorders>
            <w:vAlign w:val="center"/>
          </w:tcPr>
          <w:p w14:paraId="76827D23" w14:textId="48E72F4A" w:rsidR="00530347" w:rsidRDefault="00F76744" w:rsidP="00326F15">
            <w:pPr>
              <w:pStyle w:val="mainbody"/>
            </w:pPr>
            <w:r w:rsidRPr="00F76744">
              <w:rPr>
                <w:highlight w:val="yellow"/>
              </w:rPr>
              <w:t>31/08/2019</w:t>
            </w:r>
          </w:p>
        </w:tc>
      </w:tr>
    </w:tbl>
    <w:p w14:paraId="5805B7CD" w14:textId="77777777" w:rsidR="00F76744" w:rsidRDefault="00F76744" w:rsidP="009C46BB">
      <w:pPr>
        <w:pStyle w:val="Heading1"/>
      </w:pPr>
    </w:p>
    <w:p w14:paraId="2DFE9B1A" w14:textId="6561123E" w:rsidR="00530347" w:rsidRPr="00D80D05" w:rsidRDefault="00C438DF" w:rsidP="009C46BB">
      <w:pPr>
        <w:pStyle w:val="Heading1"/>
      </w:pPr>
      <w:r w:rsidRPr="00D80D05">
        <w:t xml:space="preserve">Further information </w:t>
      </w:r>
    </w:p>
    <w:p w14:paraId="2390C9B7" w14:textId="681BCF27" w:rsidR="00530347" w:rsidRDefault="00C438DF" w:rsidP="00326F15">
      <w:pPr>
        <w:pStyle w:val="mainbody"/>
      </w:pPr>
      <w:r>
        <w:t xml:space="preserve">Further information about this qualification can be obtained from: </w:t>
      </w:r>
      <w:hyperlink r:id="rId13" w:history="1">
        <w:r w:rsidR="008E7AAF" w:rsidRPr="004C474A">
          <w:rPr>
            <w:rStyle w:val="Hyperlink"/>
          </w:rPr>
          <w:t>www.gqaqualifications.com/qualifications</w:t>
        </w:r>
      </w:hyperlink>
      <w:r w:rsidR="009E2FD5">
        <w:t xml:space="preserve"> </w:t>
      </w:r>
    </w:p>
    <w:p w14:paraId="12E73E49" w14:textId="77777777" w:rsidR="008E7AAF" w:rsidRDefault="008E7AAF" w:rsidP="00326F15">
      <w:pPr>
        <w:pStyle w:val="mainbody"/>
      </w:pPr>
    </w:p>
    <w:p w14:paraId="0497497D" w14:textId="77777777" w:rsidR="00530347" w:rsidRDefault="00C438DF" w:rsidP="00326F15">
      <w:pPr>
        <w:pStyle w:val="mainbody"/>
      </w:pPr>
      <w:r>
        <w:t xml:space="preserve">You can also contact </w:t>
      </w:r>
      <w:r w:rsidR="009E2FD5">
        <w:t>GQA Qualifications di</w:t>
      </w:r>
      <w:r>
        <w:t xml:space="preserve">rectly at: </w:t>
      </w:r>
    </w:p>
    <w:p w14:paraId="3850968A" w14:textId="77777777" w:rsidR="008E7AAF" w:rsidRDefault="009E2FD5" w:rsidP="00326F15">
      <w:pPr>
        <w:pStyle w:val="mainbody"/>
        <w:rPr>
          <w:rFonts w:eastAsia="Calibri"/>
        </w:rPr>
      </w:pPr>
      <w:r>
        <w:rPr>
          <w:rFonts w:eastAsia="Calibri"/>
        </w:rPr>
        <w:t>GQA Qualifications Ltd</w:t>
      </w:r>
      <w:r w:rsidR="008E7AAF">
        <w:rPr>
          <w:rFonts w:eastAsia="Calibri"/>
        </w:rPr>
        <w:t xml:space="preserve">, </w:t>
      </w:r>
      <w:r>
        <w:rPr>
          <w:rFonts w:eastAsia="Calibri"/>
        </w:rPr>
        <w:t xml:space="preserve">Unit 1, Provincial House, Sheffield S4 7WW. </w:t>
      </w:r>
    </w:p>
    <w:p w14:paraId="61AB17EF" w14:textId="3F0B8741" w:rsidR="00530347" w:rsidRDefault="009E2FD5" w:rsidP="00326F15">
      <w:pPr>
        <w:pStyle w:val="mainbody"/>
      </w:pPr>
      <w:r>
        <w:rPr>
          <w:rFonts w:eastAsia="Calibri"/>
        </w:rPr>
        <w:t>Tel 01142 720033, email to info@gqaqualifications.com</w:t>
      </w:r>
    </w:p>
    <w:p w14:paraId="2F038606" w14:textId="77777777" w:rsidR="009C46BB" w:rsidRDefault="009C46BB" w:rsidP="00326F15">
      <w:pPr>
        <w:pStyle w:val="mainbody"/>
      </w:pPr>
    </w:p>
    <w:p w14:paraId="7BC21745" w14:textId="41A69734" w:rsidR="00530347" w:rsidRPr="00D80D05" w:rsidRDefault="00C438DF" w:rsidP="009C46BB">
      <w:pPr>
        <w:pStyle w:val="Heading1"/>
      </w:pPr>
      <w:r w:rsidRPr="00D80D05">
        <w:t xml:space="preserve">Qualification achievement </w:t>
      </w:r>
    </w:p>
    <w:p w14:paraId="1A666240" w14:textId="1D21D3F3" w:rsidR="000E2D2C" w:rsidRDefault="00D13F69" w:rsidP="00787339">
      <w:pPr>
        <w:pStyle w:val="mainbody"/>
      </w:pPr>
      <w:r w:rsidRPr="00D13F69">
        <w:t>Candidates must complete the mandatory units and then the required units from each of the optional groups</w:t>
      </w:r>
      <w:r w:rsidR="00A13262">
        <w:t xml:space="preserve">, 3 units from Group A, 2 units from Group B and 1 unit from Group </w:t>
      </w:r>
      <w:proofErr w:type="gramStart"/>
      <w:r w:rsidR="00A13262">
        <w:t>C.</w:t>
      </w:r>
      <w:r w:rsidRPr="00D13F69">
        <w:t>.</w:t>
      </w:r>
      <w:proofErr w:type="gramEnd"/>
    </w:p>
    <w:p w14:paraId="5B4C5209" w14:textId="77777777" w:rsidR="00D13F69" w:rsidRDefault="00D13F69" w:rsidP="00787339">
      <w:pPr>
        <w:pStyle w:val="mainbody"/>
      </w:pPr>
    </w:p>
    <w:p w14:paraId="273FA5BF" w14:textId="76BA2A52" w:rsidR="00787339" w:rsidRDefault="00787339" w:rsidP="00787339">
      <w:pPr>
        <w:pStyle w:val="mainbody"/>
      </w:pPr>
      <w:r>
        <w:t xml:space="preserve">SCQF qualifications are made up of </w:t>
      </w:r>
      <w:proofErr w:type="gramStart"/>
      <w:r>
        <w:t>a number of</w:t>
      </w:r>
      <w:proofErr w:type="gramEnd"/>
      <w:r>
        <w:t xml:space="preserve"> units, some mandatory and some optional.</w:t>
      </w:r>
    </w:p>
    <w:p w14:paraId="3B53BA0C" w14:textId="77777777" w:rsidR="00787339" w:rsidRDefault="00787339" w:rsidP="00787339">
      <w:pPr>
        <w:pStyle w:val="mainbody"/>
      </w:pPr>
    </w:p>
    <w:p w14:paraId="2D5B4E29" w14:textId="631CFC39" w:rsidR="009C46BB" w:rsidRDefault="009C46BB" w:rsidP="009C46BB">
      <w:pPr>
        <w:pStyle w:val="Heading1"/>
      </w:pPr>
      <w:r w:rsidRPr="00D80D05">
        <w:t>Qualification Structure</w:t>
      </w:r>
    </w:p>
    <w:tbl>
      <w:tblPr>
        <w:tblStyle w:val="TableGrid"/>
        <w:tblW w:w="9634" w:type="dxa"/>
        <w:tblInd w:w="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top w:w="55" w:type="dxa"/>
          <w:left w:w="27" w:type="dxa"/>
        </w:tblCellMar>
        <w:tblLook w:val="04A0" w:firstRow="1" w:lastRow="0" w:firstColumn="1" w:lastColumn="0" w:noHBand="0" w:noVBand="1"/>
      </w:tblPr>
      <w:tblGrid>
        <w:gridCol w:w="1557"/>
        <w:gridCol w:w="1699"/>
        <w:gridCol w:w="4536"/>
        <w:gridCol w:w="850"/>
        <w:gridCol w:w="992"/>
      </w:tblGrid>
      <w:tr w:rsidR="009C46BB" w:rsidRPr="00551E56" w14:paraId="028923AF" w14:textId="77777777" w:rsidTr="008B2D95">
        <w:trPr>
          <w:trHeight w:val="443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3E9E656" w14:textId="77777777" w:rsidR="009C46BB" w:rsidRPr="00551E56" w:rsidRDefault="009C46BB" w:rsidP="008B2D95">
            <w:pPr>
              <w:pStyle w:val="mainbody"/>
              <w:spacing w:line="240" w:lineRule="auto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Qualification Title: 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3655E0" w14:textId="595A8073" w:rsidR="009C46BB" w:rsidRPr="00551E56" w:rsidRDefault="00D95D2B" w:rsidP="00D95D2B">
            <w:pPr>
              <w:pStyle w:val="mainbody"/>
              <w:spacing w:line="240" w:lineRule="auto"/>
              <w:rPr>
                <w:color w:val="000000" w:themeColor="text1"/>
              </w:rPr>
            </w:pPr>
            <w:r w:rsidRPr="00D95D2B">
              <w:rPr>
                <w:color w:val="000000" w:themeColor="text1"/>
              </w:rPr>
              <w:t xml:space="preserve">SVQ 3 Fabrication </w:t>
            </w:r>
            <w:proofErr w:type="gramStart"/>
            <w:r w:rsidRPr="00D95D2B">
              <w:rPr>
                <w:color w:val="000000" w:themeColor="text1"/>
              </w:rPr>
              <w:t>Of</w:t>
            </w:r>
            <w:proofErr w:type="gramEnd"/>
            <w:r w:rsidRPr="00D95D2B">
              <w:rPr>
                <w:color w:val="000000" w:themeColor="text1"/>
              </w:rPr>
              <w:t xml:space="preserve"> Glass Supporting</w:t>
            </w:r>
            <w:r>
              <w:rPr>
                <w:color w:val="000000" w:themeColor="text1"/>
              </w:rPr>
              <w:t xml:space="preserve"> </w:t>
            </w:r>
            <w:r w:rsidRPr="00D95D2B">
              <w:rPr>
                <w:color w:val="000000" w:themeColor="text1"/>
              </w:rPr>
              <w:t>Systems at SCQF Level 6</w:t>
            </w:r>
          </w:p>
        </w:tc>
      </w:tr>
      <w:tr w:rsidR="009C46BB" w:rsidRPr="00551E56" w14:paraId="137649FC" w14:textId="77777777" w:rsidTr="008B2D95">
        <w:trPr>
          <w:trHeight w:val="443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22A919E" w14:textId="16401B48" w:rsidR="009C46BB" w:rsidRPr="00551E56" w:rsidRDefault="00805171" w:rsidP="008B2D95">
            <w:pPr>
              <w:pStyle w:val="mainbody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Group Award Number: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6213837" w14:textId="3947FFBC" w:rsidR="009C46BB" w:rsidRPr="00551E56" w:rsidRDefault="00D95D2B" w:rsidP="008B2D95">
            <w:pPr>
              <w:pStyle w:val="mainbody"/>
              <w:spacing w:line="240" w:lineRule="auto"/>
              <w:rPr>
                <w:color w:val="000000" w:themeColor="text1"/>
              </w:rPr>
            </w:pPr>
            <w:r w:rsidRPr="00D95D2B">
              <w:rPr>
                <w:color w:val="000000" w:themeColor="text1"/>
              </w:rPr>
              <w:t>GJ96 23</w:t>
            </w:r>
          </w:p>
        </w:tc>
      </w:tr>
      <w:tr w:rsidR="009C46BB" w:rsidRPr="00551E56" w14:paraId="5F6B8393" w14:textId="77777777" w:rsidTr="00D95D2B">
        <w:trPr>
          <w:trHeight w:val="737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10A33A1" w14:textId="1A4FEF44" w:rsidR="009C46BB" w:rsidRPr="00551E56" w:rsidRDefault="00D95D2B" w:rsidP="002923EA">
            <w:pPr>
              <w:pStyle w:val="mainbody"/>
              <w:spacing w:line="240" w:lineRule="auto"/>
              <w:jc w:val="left"/>
              <w:rPr>
                <w:color w:val="000000" w:themeColor="text1"/>
              </w:rPr>
            </w:pPr>
            <w:r w:rsidRPr="00D95D2B">
              <w:rPr>
                <w:color w:val="000000" w:themeColor="text1"/>
              </w:rPr>
              <w:t>Candidates must complete the mandatory units and then the required units from each of the optional groups, 3 units from Group A, 2 units from Group B and 1 unit from Group C..</w:t>
            </w:r>
          </w:p>
        </w:tc>
      </w:tr>
      <w:tr w:rsidR="009C46BB" w:rsidRPr="00551E56" w14:paraId="2DA4848C" w14:textId="77777777" w:rsidTr="008B2D95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3AA3814F" w14:textId="77777777" w:rsidR="009C46BB" w:rsidRPr="00551E56" w:rsidRDefault="009C46BB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Mandatory units </w:t>
            </w:r>
          </w:p>
        </w:tc>
      </w:tr>
      <w:tr w:rsidR="00326F15" w:rsidRPr="00551E56" w14:paraId="22DCE830" w14:textId="77777777" w:rsidTr="00326F15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1B7DC854" w14:textId="77777777" w:rsidR="00326F15" w:rsidRPr="00551E56" w:rsidRDefault="00326F15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Unit number 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37AED59" w14:textId="77777777" w:rsidR="00326F15" w:rsidRPr="00551E56" w:rsidRDefault="00326F15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Title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036F6" w14:textId="77777777" w:rsidR="00326F15" w:rsidRPr="00551E56" w:rsidRDefault="00326F15" w:rsidP="008B2D95">
            <w:pPr>
              <w:pStyle w:val="mainbody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>Level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96E15" w14:textId="77777777" w:rsidR="00326F15" w:rsidRPr="00551E56" w:rsidRDefault="00326F15" w:rsidP="008B2D95">
            <w:pPr>
              <w:pStyle w:val="mainbody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>Credit</w:t>
            </w:r>
          </w:p>
        </w:tc>
      </w:tr>
      <w:tr w:rsidR="00A67C32" w:rsidRPr="00FC49F3" w14:paraId="5CB1EB6A" w14:textId="77777777" w:rsidTr="006C4305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0FC450F5" w14:textId="1EFC8849" w:rsidR="00A67C32" w:rsidRPr="00FC49F3" w:rsidRDefault="00A67C32" w:rsidP="00A67C32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PROPGSF10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9628079" w14:textId="5C549C41" w:rsidR="00A67C32" w:rsidRPr="00FC49F3" w:rsidRDefault="00A67C32" w:rsidP="00A67C32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Promote and maintain health and safety within the production of glass supporting fabrications working environment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78802" w14:textId="34FB58F5" w:rsidR="00A67C32" w:rsidRPr="00FC49F3" w:rsidRDefault="00A67C32" w:rsidP="00A67C32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99DDB" w14:textId="299085B3" w:rsidR="00A67C32" w:rsidRPr="00FC49F3" w:rsidRDefault="00A67C32" w:rsidP="00A67C32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4</w:t>
            </w:r>
          </w:p>
        </w:tc>
      </w:tr>
      <w:tr w:rsidR="00A67C32" w:rsidRPr="00FC49F3" w14:paraId="3717E460" w14:textId="77777777" w:rsidTr="006C4305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30A135CC" w14:textId="59050F84" w:rsidR="00A67C32" w:rsidRPr="00FC49F3" w:rsidRDefault="00A67C32" w:rsidP="00A67C32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PROPGSF11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399A95A" w14:textId="2865DD93" w:rsidR="00A67C32" w:rsidRPr="00FC49F3" w:rsidRDefault="00A67C32" w:rsidP="00A67C32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 xml:space="preserve">Improve the work of the organisation in the production of glass </w:t>
            </w:r>
            <w:bookmarkStart w:id="0" w:name="_GoBack"/>
            <w:bookmarkEnd w:id="0"/>
            <w:r w:rsidRPr="00FC49F3">
              <w:rPr>
                <w:rFonts w:cstheme="minorHAnsi"/>
                <w:szCs w:val="22"/>
              </w:rPr>
              <w:t>supporting fabrications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2BE29" w14:textId="66F2170F" w:rsidR="00A67C32" w:rsidRPr="00FC49F3" w:rsidRDefault="00A67C32" w:rsidP="00A67C32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5E3EA" w14:textId="706B7F4D" w:rsidR="00A67C32" w:rsidRPr="00FC49F3" w:rsidRDefault="00A67C32" w:rsidP="00A67C32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8</w:t>
            </w:r>
          </w:p>
        </w:tc>
      </w:tr>
      <w:tr w:rsidR="006400F6" w:rsidRPr="00551E56" w14:paraId="343C0F2F" w14:textId="77777777" w:rsidTr="00A644FB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2800490" w14:textId="756576C6" w:rsidR="006400F6" w:rsidRPr="005C098A" w:rsidRDefault="00A67C32" w:rsidP="00A644FB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Group </w:t>
            </w:r>
            <w:proofErr w:type="gramStart"/>
            <w:r>
              <w:rPr>
                <w:b/>
                <w:bCs/>
                <w:color w:val="000000" w:themeColor="text1"/>
              </w:rPr>
              <w:t>A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</w:t>
            </w:r>
            <w:r w:rsidR="000E2D2C">
              <w:rPr>
                <w:b/>
                <w:bCs/>
                <w:color w:val="000000" w:themeColor="text1"/>
              </w:rPr>
              <w:t>Optional Units</w:t>
            </w:r>
            <w:r w:rsidR="00A910A9" w:rsidRPr="00A910A9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DF5045" w:rsidRPr="00FC49F3" w14:paraId="5E41FAE3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5C802AF3" w14:textId="790DD11C" w:rsidR="00DF5045" w:rsidRPr="00FC49F3" w:rsidRDefault="00DF5045" w:rsidP="00DF5045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PROPGSF3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3BFCA3F0" w14:textId="304D1A3D" w:rsidR="00DF5045" w:rsidRPr="00FC49F3" w:rsidRDefault="00DF5045" w:rsidP="00FC49F3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Prepare and operate equipment/machinery/tools in the production of glass supporting fabrications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2A0B19" w14:textId="18F45F71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A0E9" w14:textId="71FE3E40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9</w:t>
            </w:r>
          </w:p>
        </w:tc>
      </w:tr>
      <w:tr w:rsidR="00DF5045" w:rsidRPr="00FC49F3" w14:paraId="295611FE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69215F90" w14:textId="221C0E38" w:rsidR="00DF5045" w:rsidRPr="00FC49F3" w:rsidRDefault="00DF5045" w:rsidP="00DF5045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lastRenderedPageBreak/>
              <w:t>PROPGSF5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05C17D1" w14:textId="41A7130A" w:rsidR="00DF5045" w:rsidRPr="00FC49F3" w:rsidRDefault="00DF5045" w:rsidP="00FC49F3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Process products and materials by applying coatings or treatments in the production of glass supporting fabrications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A741C" w14:textId="41922ECA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51F14" w14:textId="2019D227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</w:tr>
      <w:tr w:rsidR="00DF5045" w:rsidRPr="00FC49F3" w14:paraId="615A41AD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62485A2" w14:textId="295A3550" w:rsidR="00DF5045" w:rsidRPr="00FC49F3" w:rsidRDefault="00DF5045" w:rsidP="00DF5045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PROPGSF17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62276207" w14:textId="199FE2AF" w:rsidR="00DF5045" w:rsidRPr="00FC49F3" w:rsidRDefault="00DF5045" w:rsidP="00FC49F3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Fabricate complex glass framing systems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8A001" w14:textId="25C8161D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F0AB3" w14:textId="08051567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9</w:t>
            </w:r>
          </w:p>
        </w:tc>
      </w:tr>
      <w:tr w:rsidR="00DF5045" w:rsidRPr="00FC49F3" w14:paraId="0FCC1E43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4881DA11" w14:textId="04BC1608" w:rsidR="00DF5045" w:rsidRPr="00FC49F3" w:rsidRDefault="00DF5045" w:rsidP="00DF5045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PROPGSF18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3897A7C0" w14:textId="4612D31B" w:rsidR="00DF5045" w:rsidRPr="00FC49F3" w:rsidRDefault="00DF5045" w:rsidP="00FC49F3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Control fabrication operations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B47F8" w14:textId="5B397F9C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D4B90E" w14:textId="47E1647B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8</w:t>
            </w:r>
          </w:p>
        </w:tc>
      </w:tr>
      <w:tr w:rsidR="00DF5045" w:rsidRPr="00FC49F3" w14:paraId="093D8104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3F3D40A2" w14:textId="3EA5EDD3" w:rsidR="00DF5045" w:rsidRPr="00FC49F3" w:rsidRDefault="00DF5045" w:rsidP="00DF5045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PROPGSF8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2BE56A48" w14:textId="2CD8903C" w:rsidR="00DF5045" w:rsidRPr="00FC49F3" w:rsidRDefault="00DF5045" w:rsidP="00FC49F3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Fabricate glass framing systems by joining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B276C" w14:textId="0B222791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416DA" w14:textId="38548A04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7</w:t>
            </w:r>
          </w:p>
        </w:tc>
      </w:tr>
      <w:tr w:rsidR="00DF5045" w:rsidRPr="00FC49F3" w14:paraId="5B356770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4DDDD1DD" w14:textId="7EA184FA" w:rsidR="00DF5045" w:rsidRPr="00FC49F3" w:rsidRDefault="00DF5045" w:rsidP="00DF5045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 xml:space="preserve">PROPGSF 9 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51C8E007" w14:textId="1E3F98F7" w:rsidR="00DF5045" w:rsidRPr="00FC49F3" w:rsidRDefault="00DF5045" w:rsidP="00FC49F3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Fabricate glass framing systems by assembly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75718" w14:textId="08DC0996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4F270" w14:textId="7C686866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7</w:t>
            </w:r>
          </w:p>
        </w:tc>
      </w:tr>
      <w:tr w:rsidR="00DF5045" w:rsidRPr="00FC49F3" w14:paraId="074D8F0D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6E28D34B" w14:textId="1577560C" w:rsidR="00DF5045" w:rsidRPr="00FC49F3" w:rsidRDefault="00DF5045" w:rsidP="00DF5045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PROPGSF21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2F3EE4F9" w14:textId="4C7A1800" w:rsidR="00DF5045" w:rsidRPr="00FC49F3" w:rsidRDefault="00DF5045" w:rsidP="00FC49F3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Fabricate glass framing systems by cutting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E300B2" w14:textId="02F79717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E7725" w14:textId="6F6BEDB9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</w:tr>
      <w:tr w:rsidR="00DF5045" w:rsidRPr="00FC49F3" w14:paraId="0135D5FE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D61F1FF" w14:textId="1E2CBB24" w:rsidR="00DF5045" w:rsidRPr="00FC49F3" w:rsidRDefault="00DF5045" w:rsidP="00DF5045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PROPGSF22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218D8281" w14:textId="1A8BBE09" w:rsidR="00DF5045" w:rsidRPr="00FC49F3" w:rsidRDefault="00DF5045" w:rsidP="00FC49F3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Fabricate glass framing systems by preparing materials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4518D" w14:textId="7E0611FE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95B07" w14:textId="49ED3C5A" w:rsidR="00DF5045" w:rsidRPr="00FC49F3" w:rsidRDefault="00DF5045" w:rsidP="00DF5045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</w:tr>
      <w:tr w:rsidR="00DF5045" w:rsidRPr="00551E56" w14:paraId="63CCD60C" w14:textId="77777777" w:rsidTr="000432A9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10FA0CE1" w14:textId="602F7868" w:rsidR="00DF5045" w:rsidRPr="005C098A" w:rsidRDefault="00DF5045" w:rsidP="000432A9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Group </w:t>
            </w:r>
            <w:r>
              <w:rPr>
                <w:b/>
                <w:bCs/>
                <w:color w:val="000000" w:themeColor="text1"/>
              </w:rPr>
              <w:t>B</w:t>
            </w:r>
            <w:r>
              <w:rPr>
                <w:b/>
                <w:bCs/>
                <w:color w:val="000000" w:themeColor="text1"/>
              </w:rPr>
              <w:t xml:space="preserve"> Optional Units</w:t>
            </w:r>
            <w:r w:rsidRPr="00A910A9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CF4604" w:rsidRPr="00FC49F3" w14:paraId="1422A18B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1B065FEB" w14:textId="151CE6BD" w:rsidR="00CF4604" w:rsidRPr="00FC49F3" w:rsidRDefault="00CF4604" w:rsidP="00FC49F3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PROPGSF16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5E9A6B26" w14:textId="74636DBD" w:rsidR="00CF4604" w:rsidRPr="00FC49F3" w:rsidRDefault="00CF4604" w:rsidP="00CF4604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Set up equipment for operations in the production of glass supporting fabrications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D7428" w14:textId="2575D0AA" w:rsidR="00CF4604" w:rsidRPr="00FC49F3" w:rsidRDefault="00CF4604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E1D30" w14:textId="33D2DDE7" w:rsidR="00CF4604" w:rsidRPr="00FC49F3" w:rsidRDefault="00CF4604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9</w:t>
            </w:r>
          </w:p>
        </w:tc>
      </w:tr>
      <w:tr w:rsidR="00CF4604" w:rsidRPr="00FC49F3" w14:paraId="0889D686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33D63CB2" w14:textId="10CCAD77" w:rsidR="00CF4604" w:rsidRPr="00FC49F3" w:rsidRDefault="00CF4604" w:rsidP="00FC49F3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 xml:space="preserve">PROPGSF13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CE348FD" w14:textId="3B97C015" w:rsidR="00CF4604" w:rsidRPr="00FC49F3" w:rsidRDefault="00CF4604" w:rsidP="00CF4604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Diagnose and rectify technical problems in the production of glass supporting fabrications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3E0F5" w14:textId="47B0C550" w:rsidR="00CF4604" w:rsidRPr="00FC49F3" w:rsidRDefault="00CF4604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A090B" w14:textId="638E662D" w:rsidR="00CF4604" w:rsidRPr="00FC49F3" w:rsidRDefault="00CF4604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7</w:t>
            </w:r>
          </w:p>
        </w:tc>
      </w:tr>
      <w:tr w:rsidR="00CF4604" w:rsidRPr="00FC49F3" w14:paraId="7735D8BB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4F2E051E" w14:textId="172768AD" w:rsidR="00CF4604" w:rsidRPr="00FC49F3" w:rsidRDefault="00CF4604" w:rsidP="00FC49F3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PROPGSF15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3872578" w14:textId="68F2BD90" w:rsidR="00CF4604" w:rsidRPr="00FC49F3" w:rsidRDefault="00CF4604" w:rsidP="00CF4604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Develop new work procedures in the production of glass supporting fabrications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530B4" w14:textId="435F28C3" w:rsidR="00CF4604" w:rsidRPr="00FC49F3" w:rsidRDefault="00CF4604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A4780" w14:textId="34AB8673" w:rsidR="00CF4604" w:rsidRPr="00FC49F3" w:rsidRDefault="00CF4604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</w:tr>
      <w:tr w:rsidR="00CF4604" w:rsidRPr="00FC49F3" w14:paraId="79D00A3B" w14:textId="77777777" w:rsidTr="00FC49F3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60E1F237" w14:textId="5DE78266" w:rsidR="00CF4604" w:rsidRPr="00FC49F3" w:rsidRDefault="00CF4604" w:rsidP="00FC49F3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PROPGSF14</w:t>
            </w:r>
          </w:p>
        </w:tc>
        <w:tc>
          <w:tcPr>
            <w:tcW w:w="6235" w:type="dxa"/>
            <w:gridSpan w:val="2"/>
            <w:shd w:val="clear" w:color="auto" w:fill="auto"/>
            <w:vAlign w:val="bottom"/>
          </w:tcPr>
          <w:p w14:paraId="57161599" w14:textId="3351B9CD" w:rsidR="00CF4604" w:rsidRPr="00FC49F3" w:rsidRDefault="00CF4604" w:rsidP="00CF4604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Plan the use of resources to meet work requirements in the production of glass supporting fabrications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784D3" w14:textId="6151C703" w:rsidR="00CF4604" w:rsidRPr="00FC49F3" w:rsidRDefault="00CF4604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F37E5" w14:textId="194C9A41" w:rsidR="00CF4604" w:rsidRPr="00FC49F3" w:rsidRDefault="00CF4604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</w:tr>
      <w:tr w:rsidR="00CF4604" w:rsidRPr="00551E56" w14:paraId="1E49C613" w14:textId="77777777" w:rsidTr="000432A9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152A995A" w14:textId="3772CF1C" w:rsidR="00CF4604" w:rsidRPr="005C098A" w:rsidRDefault="00CF4604" w:rsidP="000432A9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Group </w:t>
            </w:r>
            <w:r>
              <w:rPr>
                <w:b/>
                <w:bCs/>
                <w:color w:val="000000" w:themeColor="text1"/>
              </w:rPr>
              <w:t>C</w:t>
            </w:r>
            <w:r>
              <w:rPr>
                <w:b/>
                <w:bCs/>
                <w:color w:val="000000" w:themeColor="text1"/>
              </w:rPr>
              <w:t xml:space="preserve"> Optional Units</w:t>
            </w:r>
            <w:r w:rsidRPr="00A910A9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FC49F3" w:rsidRPr="00FC49F3" w14:paraId="717D48E3" w14:textId="77777777" w:rsidTr="00BF1762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77866452" w14:textId="32537BBB" w:rsidR="00FC49F3" w:rsidRPr="00FC49F3" w:rsidRDefault="00FC49F3" w:rsidP="00FC49F3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PROPGSF12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9C39D17" w14:textId="50F7D105" w:rsidR="00FC49F3" w:rsidRPr="00FC49F3" w:rsidRDefault="00FC49F3" w:rsidP="00FC49F3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Assess the quality of glass-related materials/components in the production of glass supporting fabrications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E6C92" w14:textId="4E1A8DC6" w:rsidR="00FC49F3" w:rsidRPr="00FC49F3" w:rsidRDefault="00FC49F3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80891" w14:textId="6BBDC06A" w:rsidR="00FC49F3" w:rsidRPr="00FC49F3" w:rsidRDefault="00FC49F3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7</w:t>
            </w:r>
          </w:p>
        </w:tc>
      </w:tr>
      <w:tr w:rsidR="00FC49F3" w:rsidRPr="00FC49F3" w14:paraId="7E919AA5" w14:textId="77777777" w:rsidTr="00BF1762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5209D2C3" w14:textId="47BE8495" w:rsidR="00FC49F3" w:rsidRPr="00FC49F3" w:rsidRDefault="00FC49F3" w:rsidP="00FC49F3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 xml:space="preserve">PROPGSF20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5DE76E49" w14:textId="698B9A64" w:rsidR="00FC49F3" w:rsidRPr="00FC49F3" w:rsidRDefault="00FC49F3" w:rsidP="00FC49F3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 xml:space="preserve">Check the quality of products used in the fabrication of glass supporting systems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ED27F" w14:textId="2BAEE025" w:rsidR="00FC49F3" w:rsidRPr="00FC49F3" w:rsidRDefault="00FC49F3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DFBCC" w14:textId="6ED9C1E8" w:rsidR="00FC49F3" w:rsidRPr="00FC49F3" w:rsidRDefault="00FC49F3" w:rsidP="00FC49F3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FC49F3">
              <w:rPr>
                <w:rFonts w:cstheme="minorHAnsi"/>
                <w:szCs w:val="22"/>
              </w:rPr>
              <w:t>5</w:t>
            </w:r>
          </w:p>
        </w:tc>
      </w:tr>
    </w:tbl>
    <w:p w14:paraId="249E9C65" w14:textId="063BF069" w:rsidR="009C46BB" w:rsidRDefault="009C46BB" w:rsidP="001D12BE">
      <w:pPr>
        <w:pStyle w:val="Heading1"/>
        <w:tabs>
          <w:tab w:val="left" w:pos="3135"/>
        </w:tabs>
      </w:pPr>
    </w:p>
    <w:p w14:paraId="62B0E2BE" w14:textId="77777777" w:rsidR="002F4F1C" w:rsidRDefault="002F4F1C" w:rsidP="002F4F1C">
      <w:pPr>
        <w:pStyle w:val="Heading2"/>
      </w:pPr>
      <w:r>
        <w:t>Assessment</w:t>
      </w:r>
    </w:p>
    <w:p w14:paraId="36F776E7" w14:textId="77777777" w:rsidR="002F4F1C" w:rsidRPr="009C46BB" w:rsidRDefault="002F4F1C" w:rsidP="002F4F1C">
      <w:pPr>
        <w:pStyle w:val="mainbody"/>
      </w:pPr>
      <w:r w:rsidRPr="009C46BB">
        <w:t>The qualification must be assessed using the following assessment method:</w:t>
      </w:r>
    </w:p>
    <w:p w14:paraId="4E995AA0" w14:textId="77777777" w:rsidR="002F4F1C" w:rsidRDefault="002F4F1C" w:rsidP="002F4F1C">
      <w:pPr>
        <w:pStyle w:val="mainbody"/>
        <w:numPr>
          <w:ilvl w:val="0"/>
          <w:numId w:val="8"/>
        </w:numPr>
        <w:rPr>
          <w:szCs w:val="24"/>
        </w:rPr>
      </w:pPr>
      <w:r w:rsidRPr="004609F4">
        <w:rPr>
          <w:szCs w:val="24"/>
        </w:rPr>
        <w:t>Portfolio of Evidence</w:t>
      </w:r>
    </w:p>
    <w:p w14:paraId="6C369CBD" w14:textId="77777777" w:rsidR="002F4F1C" w:rsidRPr="00AC2A36" w:rsidRDefault="002F4F1C" w:rsidP="002F4F1C">
      <w:pPr>
        <w:rPr>
          <w:rFonts w:asciiTheme="minorHAnsi" w:hAnsiTheme="minorHAnsi" w:cstheme="minorHAnsi"/>
          <w:sz w:val="22"/>
          <w:szCs w:val="24"/>
        </w:rPr>
      </w:pPr>
    </w:p>
    <w:p w14:paraId="0627FF17" w14:textId="77777777" w:rsidR="002F4F1C" w:rsidRPr="00AC2A36" w:rsidRDefault="002F4F1C" w:rsidP="002F4F1C">
      <w:pPr>
        <w:rPr>
          <w:rFonts w:asciiTheme="minorHAnsi" w:hAnsiTheme="minorHAnsi" w:cstheme="minorHAnsi"/>
          <w:sz w:val="22"/>
          <w:szCs w:val="24"/>
        </w:rPr>
      </w:pPr>
      <w:r w:rsidRPr="00AC2A36">
        <w:rPr>
          <w:rFonts w:asciiTheme="minorHAnsi" w:hAnsiTheme="minorHAnsi" w:cstheme="minorHAnsi"/>
          <w:sz w:val="22"/>
          <w:szCs w:val="24"/>
        </w:rPr>
        <w:t xml:space="preserve">Evidence should show that the candidate can cover the scope of performance outlined for each relevant unit consistently over an appropriate </w:t>
      </w:r>
      <w:proofErr w:type="gramStart"/>
      <w:r w:rsidRPr="00AC2A36">
        <w:rPr>
          <w:rFonts w:asciiTheme="minorHAnsi" w:hAnsiTheme="minorHAnsi" w:cstheme="minorHAnsi"/>
          <w:sz w:val="22"/>
          <w:szCs w:val="24"/>
        </w:rPr>
        <w:t>period of time</w:t>
      </w:r>
      <w:proofErr w:type="gramEnd"/>
      <w:r w:rsidRPr="00AC2A36">
        <w:rPr>
          <w:rFonts w:asciiTheme="minorHAnsi" w:hAnsiTheme="minorHAnsi" w:cstheme="minorHAnsi"/>
          <w:sz w:val="22"/>
          <w:szCs w:val="24"/>
        </w:rPr>
        <w:t>.</w:t>
      </w:r>
    </w:p>
    <w:p w14:paraId="4482A2EB" w14:textId="77777777" w:rsidR="002F4F1C" w:rsidRPr="002F4F1C" w:rsidRDefault="002F4F1C" w:rsidP="002F4F1C"/>
    <w:sectPr w:rsidR="002F4F1C" w:rsidRPr="002F4F1C" w:rsidSect="00DF069A">
      <w:type w:val="continuous"/>
      <w:pgSz w:w="11906" w:h="16838"/>
      <w:pgMar w:top="1134" w:right="1134" w:bottom="1134" w:left="1134" w:header="505" w:footer="6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344E" w14:textId="77777777" w:rsidR="001749DB" w:rsidRDefault="001749DB">
      <w:pPr>
        <w:spacing w:after="0" w:line="240" w:lineRule="auto"/>
      </w:pPr>
      <w:r>
        <w:separator/>
      </w:r>
    </w:p>
  </w:endnote>
  <w:endnote w:type="continuationSeparator" w:id="0">
    <w:p w14:paraId="7A62A405" w14:textId="77777777" w:rsidR="001749DB" w:rsidRDefault="001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7C0B" w14:textId="77777777" w:rsidR="00530347" w:rsidRDefault="00C438DF">
    <w:pPr>
      <w:spacing w:after="0"/>
      <w:ind w:left="0" w:firstLine="0"/>
      <w:jc w:val="left"/>
    </w:pPr>
    <w:r>
      <w:rPr>
        <w:sz w:val="16"/>
      </w:rPr>
      <w:t xml:space="preserve">© Occupational Awards Limited (OAL) 2017                                                                                            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FBC2" w14:textId="77777777" w:rsidR="00530347" w:rsidRDefault="00C438DF" w:rsidP="00326F15">
    <w:pPr>
      <w:spacing w:after="0"/>
      <w:ind w:left="0" w:firstLine="0"/>
      <w:jc w:val="right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4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C259" w14:textId="77777777" w:rsidR="00530347" w:rsidRDefault="00C438DF">
    <w:pPr>
      <w:spacing w:after="0"/>
      <w:ind w:left="0" w:firstLine="0"/>
      <w:jc w:val="left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4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AE0F" w14:textId="77777777" w:rsidR="001749DB" w:rsidRDefault="001749DB">
      <w:pPr>
        <w:spacing w:after="0" w:line="240" w:lineRule="auto"/>
      </w:pPr>
      <w:r>
        <w:separator/>
      </w:r>
    </w:p>
  </w:footnote>
  <w:footnote w:type="continuationSeparator" w:id="0">
    <w:p w14:paraId="6A1970F7" w14:textId="77777777" w:rsidR="001749DB" w:rsidRDefault="0017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F39A" w14:textId="77777777" w:rsidR="00530347" w:rsidRDefault="00C438DF">
    <w:pPr>
      <w:spacing w:after="0"/>
      <w:ind w:left="-1133" w:right="1079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E50270" wp14:editId="029B2F59">
          <wp:simplePos x="0" y="0"/>
          <wp:positionH relativeFrom="page">
            <wp:posOffset>6053455</wp:posOffset>
          </wp:positionH>
          <wp:positionV relativeFrom="page">
            <wp:posOffset>320675</wp:posOffset>
          </wp:positionV>
          <wp:extent cx="1076325" cy="748030"/>
          <wp:effectExtent l="0" t="0" r="0" b="0"/>
          <wp:wrapSquare wrapText="bothSides"/>
          <wp:docPr id="113" name="Picture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0763" w14:textId="77777777" w:rsidR="00530347" w:rsidRDefault="00530347">
    <w:pPr>
      <w:spacing w:after="0"/>
      <w:ind w:left="-1133" w:right="1079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BF1E" w14:textId="77777777" w:rsidR="00530347" w:rsidRDefault="00972840" w:rsidP="00972840">
    <w:pPr>
      <w:tabs>
        <w:tab w:val="left" w:pos="720"/>
        <w:tab w:val="left" w:pos="9035"/>
      </w:tabs>
      <w:spacing w:after="0"/>
      <w:ind w:left="0" w:right="-432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7426B3" wp14:editId="00FD71CE">
          <wp:simplePos x="0" y="0"/>
          <wp:positionH relativeFrom="column">
            <wp:posOffset>5736851</wp:posOffset>
          </wp:positionH>
          <wp:positionV relativeFrom="paragraph">
            <wp:posOffset>-175999</wp:posOffset>
          </wp:positionV>
          <wp:extent cx="932180" cy="670560"/>
          <wp:effectExtent l="0" t="0" r="1270" b="0"/>
          <wp:wrapNone/>
          <wp:docPr id="2" name="Picture 2" descr="g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8DF">
      <w:rPr>
        <w:rFonts w:ascii="Calibri" w:eastAsia="Calibri" w:hAnsi="Calibri" w:cs="Calibri"/>
        <w:sz w:val="22"/>
      </w:rPr>
      <w:t xml:space="preserve"> </w:t>
    </w:r>
    <w:r w:rsidR="00C438DF"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EFD"/>
    <w:multiLevelType w:val="hybridMultilevel"/>
    <w:tmpl w:val="BAFE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0C06"/>
    <w:multiLevelType w:val="hybridMultilevel"/>
    <w:tmpl w:val="EF82F4B8"/>
    <w:lvl w:ilvl="0" w:tplc="6DCE0466">
      <w:numFmt w:val="bullet"/>
      <w:lvlText w:val="•"/>
      <w:lvlJc w:val="left"/>
      <w:pPr>
        <w:ind w:left="374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6550FF1"/>
    <w:multiLevelType w:val="hybridMultilevel"/>
    <w:tmpl w:val="A816CFAE"/>
    <w:lvl w:ilvl="0" w:tplc="EC341A72">
      <w:start w:val="1"/>
      <w:numFmt w:val="bullet"/>
      <w:lvlText w:val="•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E7A24">
      <w:start w:val="1"/>
      <w:numFmt w:val="bullet"/>
      <w:lvlText w:val="o"/>
      <w:lvlJc w:val="left"/>
      <w:pPr>
        <w:ind w:left="1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A3E6C">
      <w:start w:val="1"/>
      <w:numFmt w:val="bullet"/>
      <w:lvlText w:val="▪"/>
      <w:lvlJc w:val="left"/>
      <w:pPr>
        <w:ind w:left="2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2C78">
      <w:start w:val="1"/>
      <w:numFmt w:val="bullet"/>
      <w:lvlText w:val="•"/>
      <w:lvlJc w:val="left"/>
      <w:pPr>
        <w:ind w:left="2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4FA66">
      <w:start w:val="1"/>
      <w:numFmt w:val="bullet"/>
      <w:lvlText w:val="o"/>
      <w:lvlJc w:val="left"/>
      <w:pPr>
        <w:ind w:left="3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64786">
      <w:start w:val="1"/>
      <w:numFmt w:val="bullet"/>
      <w:lvlText w:val="▪"/>
      <w:lvlJc w:val="left"/>
      <w:pPr>
        <w:ind w:left="4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CB5EA">
      <w:start w:val="1"/>
      <w:numFmt w:val="bullet"/>
      <w:lvlText w:val="•"/>
      <w:lvlJc w:val="left"/>
      <w:pPr>
        <w:ind w:left="5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68558">
      <w:start w:val="1"/>
      <w:numFmt w:val="bullet"/>
      <w:lvlText w:val="o"/>
      <w:lvlJc w:val="left"/>
      <w:pPr>
        <w:ind w:left="5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8FFA8">
      <w:start w:val="1"/>
      <w:numFmt w:val="bullet"/>
      <w:lvlText w:val="▪"/>
      <w:lvlJc w:val="left"/>
      <w:pPr>
        <w:ind w:left="6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70663"/>
    <w:multiLevelType w:val="hybridMultilevel"/>
    <w:tmpl w:val="4F2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58FE"/>
    <w:multiLevelType w:val="hybridMultilevel"/>
    <w:tmpl w:val="7FD47548"/>
    <w:lvl w:ilvl="0" w:tplc="881E6C78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093"/>
    <w:multiLevelType w:val="hybridMultilevel"/>
    <w:tmpl w:val="3E44467E"/>
    <w:lvl w:ilvl="0" w:tplc="B5146460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288A"/>
    <w:multiLevelType w:val="hybridMultilevel"/>
    <w:tmpl w:val="C80AAED0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174E38C1"/>
    <w:multiLevelType w:val="hybridMultilevel"/>
    <w:tmpl w:val="41B2BA26"/>
    <w:lvl w:ilvl="0" w:tplc="5EA2FED8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2810"/>
    <w:multiLevelType w:val="hybridMultilevel"/>
    <w:tmpl w:val="2F5C63D2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1DC13D2B"/>
    <w:multiLevelType w:val="hybridMultilevel"/>
    <w:tmpl w:val="D8CA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DCF"/>
    <w:multiLevelType w:val="hybridMultilevel"/>
    <w:tmpl w:val="6EB2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F099B"/>
    <w:multiLevelType w:val="hybridMultilevel"/>
    <w:tmpl w:val="7EDE8DE6"/>
    <w:lvl w:ilvl="0" w:tplc="AEFED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7303A"/>
    <w:multiLevelType w:val="hybridMultilevel"/>
    <w:tmpl w:val="5B3A1B06"/>
    <w:lvl w:ilvl="0" w:tplc="ABAC8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00D82"/>
    <w:multiLevelType w:val="hybridMultilevel"/>
    <w:tmpl w:val="B8F8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1374F"/>
    <w:multiLevelType w:val="hybridMultilevel"/>
    <w:tmpl w:val="15A2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D5414"/>
    <w:multiLevelType w:val="hybridMultilevel"/>
    <w:tmpl w:val="AE12932C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42C4A"/>
    <w:multiLevelType w:val="hybridMultilevel"/>
    <w:tmpl w:val="9CE2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DB7"/>
    <w:multiLevelType w:val="hybridMultilevel"/>
    <w:tmpl w:val="5702563E"/>
    <w:lvl w:ilvl="0" w:tplc="5EA2FED8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058D"/>
    <w:multiLevelType w:val="hybridMultilevel"/>
    <w:tmpl w:val="55A036E6"/>
    <w:lvl w:ilvl="0" w:tplc="91C01EBC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42FC4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27F1C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2360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C814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30B2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2235F6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27F52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ED55C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65315F"/>
    <w:multiLevelType w:val="hybridMultilevel"/>
    <w:tmpl w:val="D3F4D39C"/>
    <w:lvl w:ilvl="0" w:tplc="881E6C78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F65ED"/>
    <w:multiLevelType w:val="hybridMultilevel"/>
    <w:tmpl w:val="A1D26816"/>
    <w:lvl w:ilvl="0" w:tplc="AEFED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4FFB"/>
    <w:multiLevelType w:val="hybridMultilevel"/>
    <w:tmpl w:val="1090B71E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001"/>
    <w:multiLevelType w:val="hybridMultilevel"/>
    <w:tmpl w:val="EEC0D8BA"/>
    <w:lvl w:ilvl="0" w:tplc="00F8859E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B2DE8A">
      <w:start w:val="1"/>
      <w:numFmt w:val="lowerLetter"/>
      <w:lvlText w:val="%2"/>
      <w:lvlJc w:val="left"/>
      <w:pPr>
        <w:ind w:left="1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0AEFA">
      <w:start w:val="1"/>
      <w:numFmt w:val="lowerRoman"/>
      <w:lvlText w:val="%3"/>
      <w:lvlJc w:val="left"/>
      <w:pPr>
        <w:ind w:left="2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86FB2">
      <w:start w:val="1"/>
      <w:numFmt w:val="decimal"/>
      <w:lvlText w:val="%4"/>
      <w:lvlJc w:val="left"/>
      <w:pPr>
        <w:ind w:left="2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C5A78">
      <w:start w:val="1"/>
      <w:numFmt w:val="lowerLetter"/>
      <w:lvlText w:val="%5"/>
      <w:lvlJc w:val="left"/>
      <w:pPr>
        <w:ind w:left="3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87AB2">
      <w:start w:val="1"/>
      <w:numFmt w:val="lowerRoman"/>
      <w:lvlText w:val="%6"/>
      <w:lvlJc w:val="left"/>
      <w:pPr>
        <w:ind w:left="4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80E4A">
      <w:start w:val="1"/>
      <w:numFmt w:val="decimal"/>
      <w:lvlText w:val="%7"/>
      <w:lvlJc w:val="left"/>
      <w:pPr>
        <w:ind w:left="50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AB00A">
      <w:start w:val="1"/>
      <w:numFmt w:val="lowerLetter"/>
      <w:lvlText w:val="%8"/>
      <w:lvlJc w:val="left"/>
      <w:pPr>
        <w:ind w:left="57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66A2A">
      <w:start w:val="1"/>
      <w:numFmt w:val="lowerRoman"/>
      <w:lvlText w:val="%9"/>
      <w:lvlJc w:val="left"/>
      <w:pPr>
        <w:ind w:left="6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7F207B"/>
    <w:multiLevelType w:val="hybridMultilevel"/>
    <w:tmpl w:val="A0648A16"/>
    <w:lvl w:ilvl="0" w:tplc="ABAC8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17707"/>
    <w:multiLevelType w:val="hybridMultilevel"/>
    <w:tmpl w:val="568C9466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5" w15:restartNumberingAfterBreak="0">
    <w:nsid w:val="65037583"/>
    <w:multiLevelType w:val="hybridMultilevel"/>
    <w:tmpl w:val="F624738E"/>
    <w:lvl w:ilvl="0" w:tplc="C5E2258C">
      <w:numFmt w:val="bullet"/>
      <w:lvlText w:val="•"/>
      <w:lvlJc w:val="left"/>
      <w:pPr>
        <w:ind w:left="374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 w15:restartNumberingAfterBreak="0">
    <w:nsid w:val="65C506B9"/>
    <w:multiLevelType w:val="hybridMultilevel"/>
    <w:tmpl w:val="C5306F02"/>
    <w:lvl w:ilvl="0" w:tplc="C5E2258C">
      <w:numFmt w:val="bullet"/>
      <w:lvlText w:val="•"/>
      <w:lvlJc w:val="left"/>
      <w:pPr>
        <w:ind w:left="367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7" w15:restartNumberingAfterBreak="0">
    <w:nsid w:val="6B100F46"/>
    <w:multiLevelType w:val="hybridMultilevel"/>
    <w:tmpl w:val="529C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76007"/>
    <w:multiLevelType w:val="hybridMultilevel"/>
    <w:tmpl w:val="66EC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17012"/>
    <w:multiLevelType w:val="hybridMultilevel"/>
    <w:tmpl w:val="55D66C36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0" w15:restartNumberingAfterBreak="0">
    <w:nsid w:val="6C1778FD"/>
    <w:multiLevelType w:val="hybridMultilevel"/>
    <w:tmpl w:val="4EB27594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93E4F"/>
    <w:multiLevelType w:val="hybridMultilevel"/>
    <w:tmpl w:val="08A2A184"/>
    <w:lvl w:ilvl="0" w:tplc="6DCE0466">
      <w:numFmt w:val="bullet"/>
      <w:lvlText w:val="•"/>
      <w:lvlJc w:val="left"/>
      <w:pPr>
        <w:ind w:left="367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29"/>
  </w:num>
  <w:num w:numId="5">
    <w:abstractNumId w:val="8"/>
  </w:num>
  <w:num w:numId="6">
    <w:abstractNumId w:val="3"/>
  </w:num>
  <w:num w:numId="7">
    <w:abstractNumId w:val="28"/>
  </w:num>
  <w:num w:numId="8">
    <w:abstractNumId w:val="9"/>
  </w:num>
  <w:num w:numId="9">
    <w:abstractNumId w:val="16"/>
  </w:num>
  <w:num w:numId="10">
    <w:abstractNumId w:val="20"/>
  </w:num>
  <w:num w:numId="11">
    <w:abstractNumId w:val="11"/>
  </w:num>
  <w:num w:numId="12">
    <w:abstractNumId w:val="27"/>
  </w:num>
  <w:num w:numId="13">
    <w:abstractNumId w:val="12"/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30"/>
  </w:num>
  <w:num w:numId="19">
    <w:abstractNumId w:val="21"/>
  </w:num>
  <w:num w:numId="20">
    <w:abstractNumId w:val="15"/>
  </w:num>
  <w:num w:numId="21">
    <w:abstractNumId w:val="0"/>
  </w:num>
  <w:num w:numId="22">
    <w:abstractNumId w:val="19"/>
  </w:num>
  <w:num w:numId="23">
    <w:abstractNumId w:val="4"/>
  </w:num>
  <w:num w:numId="24">
    <w:abstractNumId w:val="6"/>
  </w:num>
  <w:num w:numId="25">
    <w:abstractNumId w:val="31"/>
  </w:num>
  <w:num w:numId="26">
    <w:abstractNumId w:val="1"/>
  </w:num>
  <w:num w:numId="27">
    <w:abstractNumId w:val="24"/>
  </w:num>
  <w:num w:numId="28">
    <w:abstractNumId w:val="26"/>
  </w:num>
  <w:num w:numId="29">
    <w:abstractNumId w:val="25"/>
  </w:num>
  <w:num w:numId="30">
    <w:abstractNumId w:val="13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47"/>
    <w:rsid w:val="00014104"/>
    <w:rsid w:val="00024FE7"/>
    <w:rsid w:val="000332CC"/>
    <w:rsid w:val="00043348"/>
    <w:rsid w:val="000504A6"/>
    <w:rsid w:val="00057831"/>
    <w:rsid w:val="0006629C"/>
    <w:rsid w:val="00071109"/>
    <w:rsid w:val="00071457"/>
    <w:rsid w:val="00074CBB"/>
    <w:rsid w:val="00091A0E"/>
    <w:rsid w:val="000D0E1F"/>
    <w:rsid w:val="000D459B"/>
    <w:rsid w:val="000E2D2C"/>
    <w:rsid w:val="000F2875"/>
    <w:rsid w:val="000F6B7E"/>
    <w:rsid w:val="00102479"/>
    <w:rsid w:val="00107C94"/>
    <w:rsid w:val="00143D98"/>
    <w:rsid w:val="00151DA3"/>
    <w:rsid w:val="001749DB"/>
    <w:rsid w:val="00190C2A"/>
    <w:rsid w:val="001923C1"/>
    <w:rsid w:val="001A0202"/>
    <w:rsid w:val="001C3C8C"/>
    <w:rsid w:val="001C5460"/>
    <w:rsid w:val="001D12BE"/>
    <w:rsid w:val="001E343D"/>
    <w:rsid w:val="001E7740"/>
    <w:rsid w:val="001E7791"/>
    <w:rsid w:val="00204734"/>
    <w:rsid w:val="00205FBE"/>
    <w:rsid w:val="00206D77"/>
    <w:rsid w:val="0021146C"/>
    <w:rsid w:val="00215488"/>
    <w:rsid w:val="00233209"/>
    <w:rsid w:val="0023354F"/>
    <w:rsid w:val="00240EB4"/>
    <w:rsid w:val="00245BE7"/>
    <w:rsid w:val="00246496"/>
    <w:rsid w:val="00251FE6"/>
    <w:rsid w:val="00264B4F"/>
    <w:rsid w:val="0027141B"/>
    <w:rsid w:val="00284C18"/>
    <w:rsid w:val="002923EA"/>
    <w:rsid w:val="002B587E"/>
    <w:rsid w:val="002E102C"/>
    <w:rsid w:val="002E63BE"/>
    <w:rsid w:val="002F4F1C"/>
    <w:rsid w:val="00302D22"/>
    <w:rsid w:val="0032057C"/>
    <w:rsid w:val="0032162A"/>
    <w:rsid w:val="00321C83"/>
    <w:rsid w:val="00323326"/>
    <w:rsid w:val="0032681F"/>
    <w:rsid w:val="00326CD5"/>
    <w:rsid w:val="00326F15"/>
    <w:rsid w:val="00340825"/>
    <w:rsid w:val="003435B4"/>
    <w:rsid w:val="003513A2"/>
    <w:rsid w:val="0036023D"/>
    <w:rsid w:val="00383149"/>
    <w:rsid w:val="003A525B"/>
    <w:rsid w:val="003A69F1"/>
    <w:rsid w:val="003A7B7F"/>
    <w:rsid w:val="003B3D34"/>
    <w:rsid w:val="003B4C52"/>
    <w:rsid w:val="003B7A13"/>
    <w:rsid w:val="003D4837"/>
    <w:rsid w:val="003E0535"/>
    <w:rsid w:val="003E746B"/>
    <w:rsid w:val="003F1A03"/>
    <w:rsid w:val="004305A6"/>
    <w:rsid w:val="004609F4"/>
    <w:rsid w:val="00465282"/>
    <w:rsid w:val="00485007"/>
    <w:rsid w:val="004B0612"/>
    <w:rsid w:val="004F34A2"/>
    <w:rsid w:val="0052517F"/>
    <w:rsid w:val="00530347"/>
    <w:rsid w:val="005319F6"/>
    <w:rsid w:val="00536943"/>
    <w:rsid w:val="0055335D"/>
    <w:rsid w:val="0057401B"/>
    <w:rsid w:val="00574566"/>
    <w:rsid w:val="00583017"/>
    <w:rsid w:val="00594B7E"/>
    <w:rsid w:val="005A04AF"/>
    <w:rsid w:val="005B2174"/>
    <w:rsid w:val="005C098A"/>
    <w:rsid w:val="005E1BAB"/>
    <w:rsid w:val="005F47E2"/>
    <w:rsid w:val="005F6B87"/>
    <w:rsid w:val="005F7ABF"/>
    <w:rsid w:val="00607C22"/>
    <w:rsid w:val="006400F6"/>
    <w:rsid w:val="00646F10"/>
    <w:rsid w:val="00673AB8"/>
    <w:rsid w:val="00673E3E"/>
    <w:rsid w:val="00676CB7"/>
    <w:rsid w:val="0069383A"/>
    <w:rsid w:val="006946A8"/>
    <w:rsid w:val="006A6792"/>
    <w:rsid w:val="006B1EB7"/>
    <w:rsid w:val="006B481B"/>
    <w:rsid w:val="006C5DB4"/>
    <w:rsid w:val="006D0971"/>
    <w:rsid w:val="006F182B"/>
    <w:rsid w:val="006F4E39"/>
    <w:rsid w:val="006F59FB"/>
    <w:rsid w:val="00700390"/>
    <w:rsid w:val="007004AE"/>
    <w:rsid w:val="00715903"/>
    <w:rsid w:val="0076139A"/>
    <w:rsid w:val="00765D04"/>
    <w:rsid w:val="00766C39"/>
    <w:rsid w:val="00771A9D"/>
    <w:rsid w:val="00785D73"/>
    <w:rsid w:val="00787339"/>
    <w:rsid w:val="00796AA7"/>
    <w:rsid w:val="007B2F5B"/>
    <w:rsid w:val="007C3EAA"/>
    <w:rsid w:val="007E0AED"/>
    <w:rsid w:val="00805171"/>
    <w:rsid w:val="00827E42"/>
    <w:rsid w:val="0088470B"/>
    <w:rsid w:val="00884967"/>
    <w:rsid w:val="008B76AD"/>
    <w:rsid w:val="008D0A3F"/>
    <w:rsid w:val="008E7AAF"/>
    <w:rsid w:val="008E7E00"/>
    <w:rsid w:val="008F64AC"/>
    <w:rsid w:val="00911BF2"/>
    <w:rsid w:val="00914089"/>
    <w:rsid w:val="0091704C"/>
    <w:rsid w:val="00926224"/>
    <w:rsid w:val="009342AB"/>
    <w:rsid w:val="0094305C"/>
    <w:rsid w:val="00944A31"/>
    <w:rsid w:val="00945496"/>
    <w:rsid w:val="00954E4F"/>
    <w:rsid w:val="009635DE"/>
    <w:rsid w:val="00963D12"/>
    <w:rsid w:val="00966218"/>
    <w:rsid w:val="00971C39"/>
    <w:rsid w:val="00972840"/>
    <w:rsid w:val="00975FA7"/>
    <w:rsid w:val="00993392"/>
    <w:rsid w:val="009A3258"/>
    <w:rsid w:val="009C25C3"/>
    <w:rsid w:val="009C46BB"/>
    <w:rsid w:val="009D2FCF"/>
    <w:rsid w:val="009D79C6"/>
    <w:rsid w:val="009E2FD5"/>
    <w:rsid w:val="009E30FC"/>
    <w:rsid w:val="009E4AFE"/>
    <w:rsid w:val="00A043E9"/>
    <w:rsid w:val="00A043EF"/>
    <w:rsid w:val="00A13262"/>
    <w:rsid w:val="00A15B60"/>
    <w:rsid w:val="00A438E3"/>
    <w:rsid w:val="00A44D53"/>
    <w:rsid w:val="00A52A1D"/>
    <w:rsid w:val="00A67C32"/>
    <w:rsid w:val="00A720BE"/>
    <w:rsid w:val="00A910A9"/>
    <w:rsid w:val="00AA302E"/>
    <w:rsid w:val="00AB1807"/>
    <w:rsid w:val="00AD785C"/>
    <w:rsid w:val="00B02B33"/>
    <w:rsid w:val="00B2587A"/>
    <w:rsid w:val="00B36EA6"/>
    <w:rsid w:val="00B408C2"/>
    <w:rsid w:val="00B502B5"/>
    <w:rsid w:val="00B50C6C"/>
    <w:rsid w:val="00B51435"/>
    <w:rsid w:val="00B63D2D"/>
    <w:rsid w:val="00B65477"/>
    <w:rsid w:val="00B65F24"/>
    <w:rsid w:val="00B8023C"/>
    <w:rsid w:val="00BA2B6A"/>
    <w:rsid w:val="00BB2B93"/>
    <w:rsid w:val="00BC1C78"/>
    <w:rsid w:val="00BD6F0E"/>
    <w:rsid w:val="00BE2993"/>
    <w:rsid w:val="00BE4B4D"/>
    <w:rsid w:val="00BE69ED"/>
    <w:rsid w:val="00BF664C"/>
    <w:rsid w:val="00C05171"/>
    <w:rsid w:val="00C37145"/>
    <w:rsid w:val="00C438DF"/>
    <w:rsid w:val="00C51528"/>
    <w:rsid w:val="00C54DAD"/>
    <w:rsid w:val="00C65B2E"/>
    <w:rsid w:val="00C75511"/>
    <w:rsid w:val="00C87A67"/>
    <w:rsid w:val="00C9769E"/>
    <w:rsid w:val="00CB3631"/>
    <w:rsid w:val="00CB4C19"/>
    <w:rsid w:val="00CB7904"/>
    <w:rsid w:val="00CD31A6"/>
    <w:rsid w:val="00CF4604"/>
    <w:rsid w:val="00D13F69"/>
    <w:rsid w:val="00D20DF4"/>
    <w:rsid w:val="00D21911"/>
    <w:rsid w:val="00D23F71"/>
    <w:rsid w:val="00D506FA"/>
    <w:rsid w:val="00D53A8E"/>
    <w:rsid w:val="00D6321E"/>
    <w:rsid w:val="00D64E46"/>
    <w:rsid w:val="00D725E9"/>
    <w:rsid w:val="00D80D05"/>
    <w:rsid w:val="00D95D2B"/>
    <w:rsid w:val="00DC1F59"/>
    <w:rsid w:val="00DC5B6A"/>
    <w:rsid w:val="00DD6736"/>
    <w:rsid w:val="00DE05D5"/>
    <w:rsid w:val="00DE47A4"/>
    <w:rsid w:val="00DF069A"/>
    <w:rsid w:val="00DF4BF0"/>
    <w:rsid w:val="00DF5045"/>
    <w:rsid w:val="00E053E9"/>
    <w:rsid w:val="00E16CB3"/>
    <w:rsid w:val="00E2335C"/>
    <w:rsid w:val="00E377A1"/>
    <w:rsid w:val="00E55187"/>
    <w:rsid w:val="00E61B33"/>
    <w:rsid w:val="00EC1C39"/>
    <w:rsid w:val="00EC62A5"/>
    <w:rsid w:val="00ED715C"/>
    <w:rsid w:val="00EE7374"/>
    <w:rsid w:val="00EF242E"/>
    <w:rsid w:val="00F10B1A"/>
    <w:rsid w:val="00F158DF"/>
    <w:rsid w:val="00F24CC7"/>
    <w:rsid w:val="00F30A63"/>
    <w:rsid w:val="00F373B2"/>
    <w:rsid w:val="00F45362"/>
    <w:rsid w:val="00F65258"/>
    <w:rsid w:val="00F7128D"/>
    <w:rsid w:val="00F72B60"/>
    <w:rsid w:val="00F74BD5"/>
    <w:rsid w:val="00F76744"/>
    <w:rsid w:val="00F806E8"/>
    <w:rsid w:val="00F824BE"/>
    <w:rsid w:val="00FA1D8D"/>
    <w:rsid w:val="00FA2561"/>
    <w:rsid w:val="00FB2EA5"/>
    <w:rsid w:val="00FC49F3"/>
    <w:rsid w:val="00FD4F91"/>
    <w:rsid w:val="00FD738B"/>
    <w:rsid w:val="00FE4C44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56B5"/>
  <w15:docId w15:val="{B20EAFCD-D9D4-4FEF-96EE-952102A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08"/>
      <w:ind w:left="1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AA7"/>
    <w:pPr>
      <w:spacing w:after="0" w:line="360" w:lineRule="auto"/>
      <w:ind w:left="0" w:firstLine="0"/>
      <w:jc w:val="left"/>
      <w:outlineLvl w:val="0"/>
    </w:pPr>
    <w:rPr>
      <w:rFonts w:asciiTheme="minorHAnsi" w:hAnsiTheme="minorHAnsi" w:cs="Calibri"/>
      <w:b/>
      <w:noProof/>
      <w:color w:val="00B05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46BB"/>
    <w:pPr>
      <w:widowControl w:val="0"/>
      <w:tabs>
        <w:tab w:val="left" w:pos="682"/>
      </w:tabs>
      <w:autoSpaceDE w:val="0"/>
      <w:autoSpaceDN w:val="0"/>
      <w:spacing w:before="78" w:after="120" w:line="360" w:lineRule="auto"/>
      <w:ind w:left="-5" w:firstLine="0"/>
      <w:jc w:val="left"/>
      <w:outlineLvl w:val="1"/>
    </w:pPr>
    <w:rPr>
      <w:rFonts w:asciiTheme="minorHAnsi" w:eastAsiaTheme="majorEastAsia" w:hAnsiTheme="minorHAnsi" w:cs="Calibri"/>
      <w:b/>
      <w:color w:val="00B050"/>
      <w:sz w:val="24"/>
      <w:szCs w:val="20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46BB"/>
    <w:rPr>
      <w:rFonts w:asciiTheme="minorHAnsi" w:eastAsiaTheme="majorEastAsia" w:hAnsiTheme="minorHAnsi" w:cs="Calibri"/>
      <w:b/>
      <w:color w:val="00B05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6AA7"/>
    <w:rPr>
      <w:rFonts w:asciiTheme="minorHAnsi" w:eastAsia="Verdana" w:hAnsiTheme="minorHAnsi" w:cs="Calibri"/>
      <w:b/>
      <w:noProof/>
      <w:color w:val="00B050"/>
      <w:sz w:val="24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04AE"/>
    <w:pPr>
      <w:spacing w:after="0" w:line="240" w:lineRule="auto"/>
      <w:ind w:left="720" w:firstLine="0"/>
      <w:contextualSpacing/>
      <w:jc w:val="left"/>
    </w:pPr>
    <w:rPr>
      <w:rFonts w:ascii="Calibri" w:hAnsi="Calibri" w:cs="Calibri"/>
      <w:color w:val="auto"/>
      <w:szCs w:val="20"/>
    </w:rPr>
  </w:style>
  <w:style w:type="paragraph" w:customStyle="1" w:styleId="mainbody">
    <w:name w:val="main body"/>
    <w:basedOn w:val="Normal"/>
    <w:link w:val="mainbodyChar"/>
    <w:qFormat/>
    <w:rsid w:val="00326F15"/>
    <w:pPr>
      <w:spacing w:after="0" w:line="360" w:lineRule="auto"/>
      <w:ind w:left="0" w:firstLine="0"/>
    </w:pPr>
    <w:rPr>
      <w:rFonts w:asciiTheme="minorHAnsi" w:eastAsia="Times New Roman" w:hAnsiTheme="minorHAnsi" w:cs="Calibri"/>
      <w:color w:val="auto"/>
      <w:sz w:val="22"/>
      <w:szCs w:val="20"/>
    </w:rPr>
  </w:style>
  <w:style w:type="character" w:customStyle="1" w:styleId="mainbodyChar">
    <w:name w:val="main body Char"/>
    <w:link w:val="mainbody"/>
    <w:locked/>
    <w:rsid w:val="00326F15"/>
    <w:rPr>
      <w:rFonts w:asciiTheme="minorHAnsi" w:eastAsia="Times New Roman" w:hAnsiTheme="minorHAnsi" w:cs="Calibri"/>
      <w:szCs w:val="20"/>
    </w:rPr>
  </w:style>
  <w:style w:type="paragraph" w:customStyle="1" w:styleId="Heading">
    <w:name w:val="Heading"/>
    <w:basedOn w:val="Heading1"/>
    <w:link w:val="HeadingChar"/>
    <w:qFormat/>
    <w:rsid w:val="00326F15"/>
    <w:rPr>
      <w:rFonts w:eastAsia="Times New Roman"/>
      <w:sz w:val="32"/>
    </w:rPr>
  </w:style>
  <w:style w:type="character" w:customStyle="1" w:styleId="HeadingChar">
    <w:name w:val="Heading Char"/>
    <w:basedOn w:val="DefaultParagraphFont"/>
    <w:link w:val="Heading"/>
    <w:rsid w:val="00326F15"/>
    <w:rPr>
      <w:rFonts w:asciiTheme="minorHAnsi" w:eastAsia="Times New Roman" w:hAnsiTheme="minorHAnsi" w:cs="Calibri"/>
      <w:b/>
      <w:noProof/>
      <w:color w:val="00B05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8E7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AAF"/>
    <w:rPr>
      <w:color w:val="605E5C"/>
      <w:shd w:val="clear" w:color="auto" w:fill="E1DFDD"/>
    </w:rPr>
  </w:style>
  <w:style w:type="character" w:customStyle="1" w:styleId="A1">
    <w:name w:val="A1"/>
    <w:uiPriority w:val="99"/>
    <w:rsid w:val="00B502B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qaqualifications.com/qualification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Hayes</dc:creator>
  <cp:keywords/>
  <cp:lastModifiedBy>Lisa Williamson</cp:lastModifiedBy>
  <cp:revision>12</cp:revision>
  <dcterms:created xsi:type="dcterms:W3CDTF">2019-07-11T08:56:00Z</dcterms:created>
  <dcterms:modified xsi:type="dcterms:W3CDTF">2019-07-11T09:05:00Z</dcterms:modified>
</cp:coreProperties>
</file>