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3E194408" w:rsidR="00F74BD5" w:rsidRDefault="00C438DF" w:rsidP="00975FA7">
      <w:pPr>
        <w:pStyle w:val="Heading"/>
      </w:pPr>
      <w:r>
        <w:t xml:space="preserve">Qualification </w:t>
      </w:r>
      <w:r w:rsidR="0027141B">
        <w:t>T</w:t>
      </w:r>
      <w:r>
        <w:t xml:space="preserve">itle: </w:t>
      </w:r>
      <w:r w:rsidR="006F4E39">
        <w:t xml:space="preserve">GQA </w:t>
      </w:r>
      <w:r w:rsidR="00984138" w:rsidRPr="00984138">
        <w:t xml:space="preserve">Level 2 Certificate In </w:t>
      </w:r>
      <w:r w:rsidR="0027473E" w:rsidRPr="0027473E">
        <w:t>Understanding The Print Working Environment</w:t>
      </w:r>
    </w:p>
    <w:p w14:paraId="7D7144D5" w14:textId="1EB9E85A" w:rsidR="00530347" w:rsidRDefault="0027141B" w:rsidP="00F74BD5">
      <w:pPr>
        <w:pStyle w:val="Heading"/>
      </w:pPr>
      <w:r w:rsidRPr="0027141B">
        <w:t>Qualification Number</w:t>
      </w:r>
      <w:r w:rsidR="00C438DF">
        <w:t xml:space="preserve">: </w:t>
      </w:r>
      <w:r w:rsidR="00CB2F18" w:rsidRPr="00CB2F18">
        <w:t>600/2755/1</w:t>
      </w:r>
    </w:p>
    <w:p w14:paraId="33485D23" w14:textId="3F774E45" w:rsidR="003A1DFC" w:rsidRDefault="003A1DFC" w:rsidP="003A1DFC">
      <w:pPr>
        <w:pStyle w:val="Heading"/>
      </w:pPr>
      <w:r>
        <w:t xml:space="preserve">Welsh Qualification Number: </w:t>
      </w:r>
      <w:r w:rsidR="00CB2F18" w:rsidRPr="00CB2F18">
        <w:t>C00/1250/6</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293835AE" w14:textId="23F7592D" w:rsidR="00CB2F18" w:rsidRDefault="00CB2F18" w:rsidP="00CB2F18">
      <w:pPr>
        <w:pStyle w:val="Heading1"/>
        <w:rPr>
          <w:b w:val="0"/>
          <w:noProof w:val="0"/>
          <w:color w:val="auto"/>
          <w:sz w:val="22"/>
          <w:szCs w:val="20"/>
        </w:rPr>
      </w:pPr>
      <w:r w:rsidRPr="00CB2F18">
        <w:rPr>
          <w:b w:val="0"/>
          <w:noProof w:val="0"/>
          <w:color w:val="auto"/>
          <w:sz w:val="22"/>
          <w:szCs w:val="20"/>
        </w:rPr>
        <w:t xml:space="preserve">This qualification is aimed at individuals wishing to gain knowledge of the basic requirements of working safely and effectively in the print production working </w:t>
      </w:r>
      <w:proofErr w:type="gramStart"/>
      <w:r w:rsidRPr="00CB2F18">
        <w:rPr>
          <w:b w:val="0"/>
          <w:noProof w:val="0"/>
          <w:color w:val="auto"/>
          <w:sz w:val="22"/>
          <w:szCs w:val="20"/>
        </w:rPr>
        <w:t>environment, and</w:t>
      </w:r>
      <w:proofErr w:type="gramEnd"/>
      <w:r w:rsidRPr="00CB2F18">
        <w:rPr>
          <w:b w:val="0"/>
          <w:noProof w:val="0"/>
          <w:color w:val="auto"/>
          <w:sz w:val="22"/>
          <w:szCs w:val="20"/>
        </w:rPr>
        <w:t xml:space="preserve"> is particularly suited to individuals undertaking an apprenticeship within the print production working environment. Establishing underpinning knowledge and understanding relevant to the print industry, this qualification is intended to be capable of delivery through both a taught programme of off-the-job learning or through workplace assessment (for those with access to the real workplace). Along with a generic print industry unit and a unit on employment rights and responsibilities, the optional pathways within the qualification will ensure there is a qualification to cover the individual occupational roles in the print production working environment. Further qualifications are available at Level 3 and for those employed in an administrative role within the print industry.</w:t>
      </w:r>
    </w:p>
    <w:p w14:paraId="6324DC1A" w14:textId="77777777" w:rsidR="00CB2F18" w:rsidRPr="00CB2F18" w:rsidRDefault="00CB2F18" w:rsidP="00CB2F18"/>
    <w:p w14:paraId="2CC288D4" w14:textId="6DCBEF4E"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0C36FF86" w:rsidR="00530347" w:rsidRDefault="00E91723" w:rsidP="00326F15">
            <w:pPr>
              <w:pStyle w:val="mainbody"/>
            </w:pPr>
            <w:proofErr w:type="gramStart"/>
            <w:r w:rsidRPr="00E91723">
              <w:t>Vocationally-Related</w:t>
            </w:r>
            <w:proofErr w:type="gramEnd"/>
            <w:r w:rsidRPr="00E91723">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030DAC03" w:rsidR="00530347" w:rsidRDefault="009E5083" w:rsidP="00326F15">
            <w:pPr>
              <w:pStyle w:val="mainbody"/>
            </w:pPr>
            <w:r w:rsidRPr="009E5083">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F661110" w:rsidR="00530347" w:rsidRDefault="00E91723" w:rsidP="00326F15">
            <w:pPr>
              <w:pStyle w:val="mainbody"/>
            </w:pPr>
            <w:r w:rsidRPr="00E91723">
              <w:t>01-Aug-2011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12DAE9AC" w:rsidR="00544A7A" w:rsidRDefault="00185808" w:rsidP="00326F15">
      <w:pPr>
        <w:pStyle w:val="mainbody"/>
      </w:pPr>
      <w:r>
        <w:t>T</w:t>
      </w:r>
      <w:r w:rsidRPr="00185808">
        <w:t>his qualification has 2 mandatory units, which have a value of 9 credits and 5 pathways made up of optional units.</w:t>
      </w:r>
      <w:r w:rsidRPr="00185808">
        <w:t xml:space="preserve"> </w:t>
      </w:r>
      <w:r>
        <w:t xml:space="preserve"> </w:t>
      </w:r>
      <w:r w:rsidRPr="00185808">
        <w:t>Candidates must achieve both mandatory units, plus either 11 or 12 credits as specified in the pathway selected.</w:t>
      </w:r>
    </w:p>
    <w:p w14:paraId="53D85204" w14:textId="77777777" w:rsidR="00185808" w:rsidRDefault="0018580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F092CAD" w:rsidR="009C46BB" w:rsidRPr="00551E56" w:rsidRDefault="00B37786" w:rsidP="00B37786">
            <w:pPr>
              <w:pStyle w:val="mainbody"/>
              <w:spacing w:line="240" w:lineRule="auto"/>
              <w:rPr>
                <w:color w:val="000000" w:themeColor="text1"/>
              </w:rPr>
            </w:pPr>
            <w:r w:rsidRPr="00B37786">
              <w:rPr>
                <w:color w:val="000000" w:themeColor="text1"/>
              </w:rPr>
              <w:t xml:space="preserve">GQA Level 2 Certificate </w:t>
            </w:r>
            <w:proofErr w:type="gramStart"/>
            <w:r w:rsidRPr="00B37786">
              <w:rPr>
                <w:color w:val="000000" w:themeColor="text1"/>
              </w:rPr>
              <w:t>In</w:t>
            </w:r>
            <w:proofErr w:type="gramEnd"/>
            <w:r w:rsidRPr="00B37786">
              <w:rPr>
                <w:color w:val="000000" w:themeColor="text1"/>
              </w:rPr>
              <w:t xml:space="preserve"> Understanding The Print Working Environment</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5C1A2D95" w:rsidR="009C46BB" w:rsidRPr="00551E56" w:rsidRDefault="00B37786" w:rsidP="008B2D95">
            <w:pPr>
              <w:pStyle w:val="mainbody"/>
              <w:spacing w:line="240" w:lineRule="auto"/>
              <w:rPr>
                <w:color w:val="000000" w:themeColor="text1"/>
              </w:rPr>
            </w:pPr>
            <w:r w:rsidRPr="00B37786">
              <w:rPr>
                <w:color w:val="000000" w:themeColor="text1"/>
              </w:rPr>
              <w:t>600/2755/1</w:t>
            </w:r>
          </w:p>
        </w:tc>
      </w:tr>
      <w:tr w:rsidR="00B37786" w:rsidRPr="00551E56" w14:paraId="23AC4490" w14:textId="77777777" w:rsidTr="008B2D95">
        <w:trPr>
          <w:trHeight w:val="443"/>
        </w:trPr>
        <w:tc>
          <w:tcPr>
            <w:tcW w:w="3256" w:type="dxa"/>
            <w:gridSpan w:val="2"/>
            <w:shd w:val="clear" w:color="auto" w:fill="auto"/>
            <w:vAlign w:val="center"/>
          </w:tcPr>
          <w:p w14:paraId="77F4C512" w14:textId="56215D32" w:rsidR="00B37786" w:rsidRPr="00551E56" w:rsidRDefault="00B37786" w:rsidP="008B2D95">
            <w:pPr>
              <w:pStyle w:val="mainbody"/>
              <w:spacing w:line="240" w:lineRule="auto"/>
              <w:rPr>
                <w:b/>
                <w:bCs/>
                <w:color w:val="000000" w:themeColor="text1"/>
              </w:rPr>
            </w:pPr>
            <w:r w:rsidRPr="00B37786">
              <w:rPr>
                <w:b/>
                <w:bCs/>
                <w:color w:val="000000" w:themeColor="text1"/>
              </w:rPr>
              <w:t>Welsh Qualification Number:</w:t>
            </w:r>
          </w:p>
        </w:tc>
        <w:tc>
          <w:tcPr>
            <w:tcW w:w="6378" w:type="dxa"/>
            <w:gridSpan w:val="3"/>
            <w:shd w:val="clear" w:color="auto" w:fill="auto"/>
            <w:vAlign w:val="center"/>
          </w:tcPr>
          <w:p w14:paraId="0439422C" w14:textId="39302FFA" w:rsidR="00B37786" w:rsidRPr="00B37786" w:rsidRDefault="00B37786" w:rsidP="008B2D95">
            <w:pPr>
              <w:pStyle w:val="mainbody"/>
              <w:spacing w:line="240" w:lineRule="auto"/>
              <w:rPr>
                <w:color w:val="000000" w:themeColor="text1"/>
              </w:rPr>
            </w:pPr>
            <w:r w:rsidRPr="00B37786">
              <w:rPr>
                <w:color w:val="000000" w:themeColor="text1"/>
              </w:rPr>
              <w:t>C00/1250/6</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4B03A068" w:rsidR="009C46BB" w:rsidRPr="00551E56" w:rsidRDefault="00E91723" w:rsidP="008B2D95">
            <w:pPr>
              <w:pStyle w:val="mainbody"/>
              <w:spacing w:line="240" w:lineRule="auto"/>
              <w:rPr>
                <w:color w:val="000000" w:themeColor="text1"/>
              </w:rPr>
            </w:pPr>
            <w:r>
              <w:rPr>
                <w:color w:val="000000" w:themeColor="text1"/>
              </w:rPr>
              <w:t>20</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0C7F3285" w:rsidR="009C46BB" w:rsidRPr="00551E56" w:rsidRDefault="00E91723" w:rsidP="008B2D95">
            <w:pPr>
              <w:pStyle w:val="mainbody"/>
              <w:spacing w:line="240" w:lineRule="auto"/>
              <w:rPr>
                <w:color w:val="000000" w:themeColor="text1"/>
              </w:rPr>
            </w:pPr>
            <w:r>
              <w:rPr>
                <w:color w:val="000000" w:themeColor="text1"/>
              </w:rPr>
              <w:t>200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A9B0333" w:rsidR="009C46BB" w:rsidRPr="00551E56" w:rsidRDefault="00E91723" w:rsidP="008B2D95">
            <w:pPr>
              <w:pStyle w:val="mainbody"/>
              <w:spacing w:line="240" w:lineRule="auto"/>
              <w:rPr>
                <w:color w:val="000000" w:themeColor="text1"/>
              </w:rPr>
            </w:pPr>
            <w:r>
              <w:rPr>
                <w:color w:val="000000" w:themeColor="text1"/>
              </w:rPr>
              <w:t>138</w:t>
            </w:r>
          </w:p>
        </w:tc>
      </w:tr>
      <w:tr w:rsidR="009C46BB" w:rsidRPr="00551E56" w14:paraId="5F6B8393" w14:textId="77777777" w:rsidTr="009C46BB">
        <w:trPr>
          <w:trHeight w:val="737"/>
        </w:trPr>
        <w:tc>
          <w:tcPr>
            <w:tcW w:w="9634" w:type="dxa"/>
            <w:gridSpan w:val="5"/>
            <w:shd w:val="clear" w:color="auto" w:fill="auto"/>
            <w:vAlign w:val="center"/>
          </w:tcPr>
          <w:p w14:paraId="610A33A1" w14:textId="53F8C7E8" w:rsidR="009C46BB" w:rsidRPr="00551E56" w:rsidRDefault="00185808" w:rsidP="00F806E8">
            <w:pPr>
              <w:pStyle w:val="mainbody"/>
              <w:spacing w:line="240" w:lineRule="auto"/>
              <w:jc w:val="left"/>
              <w:rPr>
                <w:color w:val="000000" w:themeColor="text1"/>
              </w:rPr>
            </w:pPr>
            <w:r w:rsidRPr="00185808">
              <w:rPr>
                <w:color w:val="000000" w:themeColor="text1"/>
              </w:rPr>
              <w:t>Candidates must achieve both mandatory units, plus either 11 or 12 credits as specified in the pathway selected.</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DF890E5" w:rsidR="00326F15" w:rsidRPr="00551E56" w:rsidRDefault="00A91549" w:rsidP="008B2D95">
            <w:pPr>
              <w:pStyle w:val="mainbody"/>
              <w:spacing w:line="240" w:lineRule="auto"/>
              <w:jc w:val="left"/>
              <w:rPr>
                <w:color w:val="000000" w:themeColor="text1"/>
              </w:rPr>
            </w:pPr>
            <w:r w:rsidRPr="00A91549">
              <w:rPr>
                <w:color w:val="000000" w:themeColor="text1"/>
              </w:rPr>
              <w:t>K/503/4047</w:t>
            </w:r>
          </w:p>
        </w:tc>
        <w:tc>
          <w:tcPr>
            <w:tcW w:w="6235" w:type="dxa"/>
            <w:gridSpan w:val="2"/>
            <w:shd w:val="clear" w:color="auto" w:fill="auto"/>
            <w:vAlign w:val="center"/>
          </w:tcPr>
          <w:p w14:paraId="79628079" w14:textId="7D848F8E" w:rsidR="00326F15" w:rsidRPr="00551E56" w:rsidRDefault="005C15DD" w:rsidP="008B2D95">
            <w:pPr>
              <w:pStyle w:val="mainbody"/>
              <w:spacing w:line="240" w:lineRule="auto"/>
              <w:jc w:val="left"/>
              <w:rPr>
                <w:color w:val="000000" w:themeColor="text1"/>
              </w:rPr>
            </w:pPr>
            <w:r w:rsidRPr="005C15DD">
              <w:rPr>
                <w:color w:val="000000" w:themeColor="text1"/>
              </w:rPr>
              <w:t>Knowledge of working practices in the print industry</w:t>
            </w:r>
          </w:p>
        </w:tc>
        <w:tc>
          <w:tcPr>
            <w:tcW w:w="850" w:type="dxa"/>
            <w:shd w:val="clear" w:color="auto" w:fill="auto"/>
            <w:vAlign w:val="center"/>
          </w:tcPr>
          <w:p w14:paraId="52E78802" w14:textId="61842608" w:rsidR="00326F15" w:rsidRPr="00551E56" w:rsidRDefault="005C15D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5B3ED08" w:rsidR="00326F15" w:rsidRPr="00551E56" w:rsidRDefault="005C15DD" w:rsidP="008B2D95">
            <w:pPr>
              <w:pStyle w:val="mainbody"/>
              <w:spacing w:line="240" w:lineRule="auto"/>
              <w:jc w:val="center"/>
              <w:rPr>
                <w:color w:val="000000" w:themeColor="text1"/>
              </w:rPr>
            </w:pPr>
            <w:r>
              <w:rPr>
                <w:color w:val="000000" w:themeColor="text1"/>
              </w:rPr>
              <w:t>6</w:t>
            </w:r>
          </w:p>
        </w:tc>
      </w:tr>
      <w:tr w:rsidR="00326F15" w:rsidRPr="00551E56" w14:paraId="3717E460" w14:textId="77777777" w:rsidTr="00326F15">
        <w:trPr>
          <w:trHeight w:val="454"/>
        </w:trPr>
        <w:tc>
          <w:tcPr>
            <w:tcW w:w="1557" w:type="dxa"/>
            <w:shd w:val="clear" w:color="auto" w:fill="auto"/>
            <w:vAlign w:val="center"/>
          </w:tcPr>
          <w:p w14:paraId="30A135CC" w14:textId="6E0808F3" w:rsidR="00326F15" w:rsidRPr="00551E56" w:rsidRDefault="009401E9" w:rsidP="008B2D95">
            <w:pPr>
              <w:pStyle w:val="mainbody"/>
              <w:spacing w:line="240" w:lineRule="auto"/>
              <w:jc w:val="left"/>
              <w:rPr>
                <w:color w:val="000000" w:themeColor="text1"/>
              </w:rPr>
            </w:pPr>
            <w:r w:rsidRPr="009401E9">
              <w:rPr>
                <w:color w:val="000000" w:themeColor="text1"/>
              </w:rPr>
              <w:t>F/602/3940</w:t>
            </w:r>
          </w:p>
        </w:tc>
        <w:tc>
          <w:tcPr>
            <w:tcW w:w="6235" w:type="dxa"/>
            <w:gridSpan w:val="2"/>
            <w:shd w:val="clear" w:color="auto" w:fill="auto"/>
            <w:vAlign w:val="center"/>
          </w:tcPr>
          <w:p w14:paraId="3399A95A" w14:textId="22996354" w:rsidR="00326F15" w:rsidRPr="00551E56" w:rsidRDefault="009401E9" w:rsidP="00AB1807">
            <w:pPr>
              <w:pStyle w:val="mainbody"/>
              <w:spacing w:line="240" w:lineRule="auto"/>
              <w:jc w:val="left"/>
              <w:rPr>
                <w:color w:val="000000" w:themeColor="text1"/>
              </w:rPr>
            </w:pPr>
            <w:r w:rsidRPr="009401E9">
              <w:rPr>
                <w:color w:val="000000" w:themeColor="text1"/>
              </w:rPr>
              <w:t>Employment Rights and Responsibilities in the Processing and Manufacturing Industries</w:t>
            </w:r>
          </w:p>
        </w:tc>
        <w:tc>
          <w:tcPr>
            <w:tcW w:w="850" w:type="dxa"/>
            <w:shd w:val="clear" w:color="auto" w:fill="auto"/>
            <w:vAlign w:val="center"/>
          </w:tcPr>
          <w:p w14:paraId="2902BE29" w14:textId="71844556" w:rsidR="00326F15" w:rsidRPr="00551E56" w:rsidRDefault="009401E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A64DA71" w:rsidR="00326F15" w:rsidRPr="00551E56" w:rsidRDefault="009401E9" w:rsidP="008B2D95">
            <w:pPr>
              <w:pStyle w:val="mainbody"/>
              <w:spacing w:line="240" w:lineRule="auto"/>
              <w:jc w:val="center"/>
              <w:rPr>
                <w:color w:val="000000" w:themeColor="text1"/>
              </w:rPr>
            </w:pPr>
            <w:r>
              <w:rPr>
                <w:color w:val="000000" w:themeColor="text1"/>
              </w:rPr>
              <w:t>3</w:t>
            </w:r>
          </w:p>
        </w:tc>
      </w:tr>
      <w:tr w:rsidR="009401E9" w:rsidRPr="00551E56" w14:paraId="149C3A9F" w14:textId="77777777" w:rsidTr="00522747">
        <w:trPr>
          <w:trHeight w:val="454"/>
        </w:trPr>
        <w:tc>
          <w:tcPr>
            <w:tcW w:w="9634" w:type="dxa"/>
            <w:gridSpan w:val="5"/>
            <w:shd w:val="clear" w:color="auto" w:fill="auto"/>
            <w:vAlign w:val="center"/>
          </w:tcPr>
          <w:p w14:paraId="72A73B56" w14:textId="1B0F6277" w:rsidR="009401E9" w:rsidRPr="005C098A" w:rsidRDefault="009401E9" w:rsidP="00522747">
            <w:pPr>
              <w:pStyle w:val="mainbody"/>
              <w:spacing w:line="240" w:lineRule="auto"/>
              <w:jc w:val="left"/>
              <w:rPr>
                <w:b/>
                <w:bCs/>
                <w:color w:val="000000" w:themeColor="text1"/>
              </w:rPr>
            </w:pPr>
            <w:r w:rsidRPr="009401E9">
              <w:rPr>
                <w:b/>
                <w:bCs/>
                <w:color w:val="000000" w:themeColor="text1"/>
              </w:rPr>
              <w:t>Pathway 1 - Desktop Publishing</w:t>
            </w:r>
          </w:p>
        </w:tc>
      </w:tr>
      <w:tr w:rsidR="00326F15" w:rsidRPr="00551E56" w14:paraId="717D3335" w14:textId="77777777" w:rsidTr="00326F15">
        <w:trPr>
          <w:trHeight w:val="454"/>
        </w:trPr>
        <w:tc>
          <w:tcPr>
            <w:tcW w:w="1557" w:type="dxa"/>
            <w:shd w:val="clear" w:color="auto" w:fill="auto"/>
            <w:vAlign w:val="center"/>
          </w:tcPr>
          <w:p w14:paraId="2AA0FA76" w14:textId="0E595E5E" w:rsidR="00326F15" w:rsidRPr="00551E56" w:rsidRDefault="00E96BBA" w:rsidP="008B2D95">
            <w:pPr>
              <w:pStyle w:val="mainbody"/>
              <w:spacing w:line="240" w:lineRule="auto"/>
              <w:jc w:val="left"/>
              <w:rPr>
                <w:color w:val="000000" w:themeColor="text1"/>
              </w:rPr>
            </w:pPr>
            <w:r w:rsidRPr="00E96BBA">
              <w:rPr>
                <w:color w:val="000000" w:themeColor="text1"/>
              </w:rPr>
              <w:t>L/503/4039</w:t>
            </w:r>
          </w:p>
        </w:tc>
        <w:tc>
          <w:tcPr>
            <w:tcW w:w="6235" w:type="dxa"/>
            <w:gridSpan w:val="2"/>
            <w:shd w:val="clear" w:color="auto" w:fill="auto"/>
            <w:vAlign w:val="center"/>
          </w:tcPr>
          <w:p w14:paraId="7CB5548F" w14:textId="31209151" w:rsidR="00326F15" w:rsidRPr="00551E56" w:rsidRDefault="00E96BBA" w:rsidP="008B2D95">
            <w:pPr>
              <w:pStyle w:val="mainbody"/>
              <w:spacing w:line="240" w:lineRule="auto"/>
              <w:jc w:val="left"/>
              <w:rPr>
                <w:color w:val="000000" w:themeColor="text1"/>
              </w:rPr>
            </w:pPr>
            <w:r w:rsidRPr="00E96BBA">
              <w:rPr>
                <w:color w:val="000000" w:themeColor="text1"/>
              </w:rPr>
              <w:t>Knowledge of Company productivity, cost effectiveness and quality assurance requirements in DTP and Pre-press work</w:t>
            </w:r>
          </w:p>
        </w:tc>
        <w:tc>
          <w:tcPr>
            <w:tcW w:w="850" w:type="dxa"/>
            <w:shd w:val="clear" w:color="auto" w:fill="auto"/>
            <w:vAlign w:val="center"/>
          </w:tcPr>
          <w:p w14:paraId="5379EE08" w14:textId="49739C54" w:rsidR="00326F15" w:rsidRPr="00551E56" w:rsidRDefault="00E96BB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73411C6D" w:rsidR="00326F15" w:rsidRPr="00551E56" w:rsidRDefault="00E96BBA" w:rsidP="008B2D95">
            <w:pPr>
              <w:pStyle w:val="mainbody"/>
              <w:spacing w:line="240" w:lineRule="auto"/>
              <w:jc w:val="center"/>
              <w:rPr>
                <w:color w:val="000000" w:themeColor="text1"/>
              </w:rPr>
            </w:pPr>
            <w:r>
              <w:rPr>
                <w:color w:val="000000" w:themeColor="text1"/>
              </w:rPr>
              <w:t>6</w:t>
            </w:r>
          </w:p>
        </w:tc>
      </w:tr>
      <w:tr w:rsidR="00326F15" w:rsidRPr="00551E56" w14:paraId="5B711BC6" w14:textId="77777777" w:rsidTr="00326F15">
        <w:trPr>
          <w:trHeight w:val="454"/>
        </w:trPr>
        <w:tc>
          <w:tcPr>
            <w:tcW w:w="1557" w:type="dxa"/>
            <w:shd w:val="clear" w:color="auto" w:fill="auto"/>
            <w:vAlign w:val="center"/>
          </w:tcPr>
          <w:p w14:paraId="6B226C3E" w14:textId="12DA8BF8" w:rsidR="00326F15" w:rsidRPr="00551E56" w:rsidRDefault="00E96BBA" w:rsidP="008B2D95">
            <w:pPr>
              <w:pStyle w:val="mainbody"/>
              <w:spacing w:line="240" w:lineRule="auto"/>
              <w:jc w:val="left"/>
              <w:rPr>
                <w:color w:val="000000" w:themeColor="text1"/>
              </w:rPr>
            </w:pPr>
            <w:r w:rsidRPr="00E96BBA">
              <w:rPr>
                <w:color w:val="000000" w:themeColor="text1"/>
              </w:rPr>
              <w:t>R/503/4043</w:t>
            </w:r>
          </w:p>
        </w:tc>
        <w:tc>
          <w:tcPr>
            <w:tcW w:w="6235" w:type="dxa"/>
            <w:gridSpan w:val="2"/>
            <w:shd w:val="clear" w:color="auto" w:fill="auto"/>
            <w:vAlign w:val="center"/>
          </w:tcPr>
          <w:p w14:paraId="229F6742" w14:textId="19C7A3E3" w:rsidR="00326F15" w:rsidRPr="00551E56" w:rsidRDefault="00E96BBA" w:rsidP="008B2D95">
            <w:pPr>
              <w:pStyle w:val="mainbody"/>
              <w:spacing w:line="240" w:lineRule="auto"/>
              <w:jc w:val="left"/>
              <w:rPr>
                <w:color w:val="000000" w:themeColor="text1"/>
              </w:rPr>
            </w:pPr>
            <w:r w:rsidRPr="00E96BBA">
              <w:rPr>
                <w:color w:val="000000" w:themeColor="text1"/>
              </w:rPr>
              <w:t>Knowledge of the Principles of Desktop Publishing</w:t>
            </w:r>
          </w:p>
        </w:tc>
        <w:tc>
          <w:tcPr>
            <w:tcW w:w="850" w:type="dxa"/>
            <w:shd w:val="clear" w:color="auto" w:fill="auto"/>
            <w:vAlign w:val="center"/>
          </w:tcPr>
          <w:p w14:paraId="584915A2" w14:textId="1AE6EF9E" w:rsidR="00326F15" w:rsidRPr="00551E56" w:rsidRDefault="00E96BB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2883440F" w:rsidR="00326F15" w:rsidRPr="00551E56" w:rsidRDefault="00E96BBA" w:rsidP="008B2D95">
            <w:pPr>
              <w:pStyle w:val="mainbody"/>
              <w:spacing w:line="240" w:lineRule="auto"/>
              <w:jc w:val="center"/>
              <w:rPr>
                <w:color w:val="000000" w:themeColor="text1"/>
              </w:rPr>
            </w:pPr>
            <w:r>
              <w:rPr>
                <w:color w:val="000000" w:themeColor="text1"/>
              </w:rPr>
              <w:t>5</w:t>
            </w:r>
          </w:p>
        </w:tc>
      </w:tr>
      <w:tr w:rsidR="005C098A" w:rsidRPr="00551E56" w14:paraId="4501E119" w14:textId="77777777" w:rsidTr="00A35FCB">
        <w:trPr>
          <w:trHeight w:val="454"/>
        </w:trPr>
        <w:tc>
          <w:tcPr>
            <w:tcW w:w="9634" w:type="dxa"/>
            <w:gridSpan w:val="5"/>
            <w:shd w:val="clear" w:color="auto" w:fill="auto"/>
            <w:vAlign w:val="center"/>
          </w:tcPr>
          <w:p w14:paraId="7D5C193C" w14:textId="4BEB918E" w:rsidR="005C098A" w:rsidRPr="005C098A" w:rsidRDefault="00671A28" w:rsidP="005C098A">
            <w:pPr>
              <w:pStyle w:val="mainbody"/>
              <w:spacing w:line="240" w:lineRule="auto"/>
              <w:jc w:val="left"/>
              <w:rPr>
                <w:b/>
                <w:bCs/>
                <w:color w:val="000000" w:themeColor="text1"/>
              </w:rPr>
            </w:pPr>
            <w:r w:rsidRPr="00671A28">
              <w:rPr>
                <w:b/>
                <w:bCs/>
                <w:color w:val="000000" w:themeColor="text1"/>
              </w:rPr>
              <w:t>Pathway 2 - Pre-Press</w:t>
            </w:r>
          </w:p>
        </w:tc>
      </w:tr>
      <w:tr w:rsidR="00326F15" w:rsidRPr="00551E56" w14:paraId="2D895CBA" w14:textId="77777777" w:rsidTr="00326F15">
        <w:trPr>
          <w:trHeight w:val="397"/>
        </w:trPr>
        <w:tc>
          <w:tcPr>
            <w:tcW w:w="1557" w:type="dxa"/>
            <w:shd w:val="clear" w:color="auto" w:fill="auto"/>
            <w:vAlign w:val="center"/>
          </w:tcPr>
          <w:p w14:paraId="39303B3A" w14:textId="3C1CEE46" w:rsidR="00326F15" w:rsidRPr="00551E56" w:rsidRDefault="00671A28" w:rsidP="008B2D95">
            <w:pPr>
              <w:pStyle w:val="mainbody"/>
              <w:spacing w:line="240" w:lineRule="auto"/>
              <w:jc w:val="left"/>
              <w:rPr>
                <w:color w:val="000000" w:themeColor="text1"/>
              </w:rPr>
            </w:pPr>
            <w:r w:rsidRPr="00671A28">
              <w:rPr>
                <w:color w:val="000000" w:themeColor="text1"/>
              </w:rPr>
              <w:t>L/503/4039</w:t>
            </w:r>
          </w:p>
        </w:tc>
        <w:tc>
          <w:tcPr>
            <w:tcW w:w="6235" w:type="dxa"/>
            <w:gridSpan w:val="2"/>
            <w:shd w:val="clear" w:color="auto" w:fill="auto"/>
            <w:vAlign w:val="center"/>
          </w:tcPr>
          <w:p w14:paraId="0A5CE04A" w14:textId="32B206C4" w:rsidR="00326F15" w:rsidRPr="00551E56" w:rsidRDefault="00671A28" w:rsidP="008B2D95">
            <w:pPr>
              <w:pStyle w:val="mainbody"/>
              <w:spacing w:line="240" w:lineRule="auto"/>
              <w:jc w:val="left"/>
              <w:rPr>
                <w:color w:val="000000" w:themeColor="text1"/>
              </w:rPr>
            </w:pPr>
            <w:r w:rsidRPr="00671A28">
              <w:rPr>
                <w:color w:val="000000" w:themeColor="text1"/>
              </w:rPr>
              <w:t>Knowledge of Company productivity, cost effectiveness and quality assurance requirements in DTP and Pre-press work</w:t>
            </w:r>
          </w:p>
        </w:tc>
        <w:tc>
          <w:tcPr>
            <w:tcW w:w="850" w:type="dxa"/>
            <w:shd w:val="clear" w:color="auto" w:fill="auto"/>
            <w:vAlign w:val="center"/>
          </w:tcPr>
          <w:p w14:paraId="28151D8C" w14:textId="72BA55E1" w:rsidR="00326F15" w:rsidRPr="00551E56" w:rsidRDefault="00671A2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717DA048" w:rsidR="00326F15" w:rsidRPr="00551E56" w:rsidRDefault="00671A28" w:rsidP="008B2D95">
            <w:pPr>
              <w:pStyle w:val="mainbody"/>
              <w:spacing w:line="240" w:lineRule="auto"/>
              <w:jc w:val="center"/>
              <w:rPr>
                <w:color w:val="000000" w:themeColor="text1"/>
              </w:rPr>
            </w:pPr>
            <w:r>
              <w:rPr>
                <w:color w:val="000000" w:themeColor="text1"/>
              </w:rPr>
              <w:t>6</w:t>
            </w:r>
          </w:p>
        </w:tc>
      </w:tr>
      <w:tr w:rsidR="001D12BE" w:rsidRPr="00551E56" w14:paraId="6503BCC6" w14:textId="77777777" w:rsidTr="00326F15">
        <w:trPr>
          <w:trHeight w:val="397"/>
        </w:trPr>
        <w:tc>
          <w:tcPr>
            <w:tcW w:w="1557" w:type="dxa"/>
            <w:shd w:val="clear" w:color="auto" w:fill="auto"/>
            <w:vAlign w:val="center"/>
          </w:tcPr>
          <w:p w14:paraId="416951A0" w14:textId="29C64FCC" w:rsidR="001D12BE" w:rsidRPr="001D12BE" w:rsidRDefault="008E0B7D" w:rsidP="008B2D95">
            <w:pPr>
              <w:pStyle w:val="mainbody"/>
              <w:spacing w:line="240" w:lineRule="auto"/>
              <w:jc w:val="left"/>
              <w:rPr>
                <w:color w:val="000000" w:themeColor="text1"/>
              </w:rPr>
            </w:pPr>
            <w:r w:rsidRPr="008E0B7D">
              <w:rPr>
                <w:color w:val="000000" w:themeColor="text1"/>
              </w:rPr>
              <w:t>Y/503/4044</w:t>
            </w:r>
          </w:p>
        </w:tc>
        <w:tc>
          <w:tcPr>
            <w:tcW w:w="6235" w:type="dxa"/>
            <w:gridSpan w:val="2"/>
            <w:shd w:val="clear" w:color="auto" w:fill="auto"/>
            <w:vAlign w:val="center"/>
          </w:tcPr>
          <w:p w14:paraId="006D4A1C" w14:textId="776153B9" w:rsidR="001D12BE" w:rsidRPr="001D12BE" w:rsidRDefault="008E0B7D" w:rsidP="008B2D95">
            <w:pPr>
              <w:pStyle w:val="mainbody"/>
              <w:spacing w:line="240" w:lineRule="auto"/>
              <w:jc w:val="left"/>
              <w:rPr>
                <w:color w:val="000000" w:themeColor="text1"/>
              </w:rPr>
            </w:pPr>
            <w:r w:rsidRPr="008E0B7D">
              <w:rPr>
                <w:color w:val="000000" w:themeColor="text1"/>
              </w:rPr>
              <w:t>Knowledge of the Principles of Digital pre-press processes</w:t>
            </w:r>
          </w:p>
        </w:tc>
        <w:tc>
          <w:tcPr>
            <w:tcW w:w="850" w:type="dxa"/>
            <w:shd w:val="clear" w:color="auto" w:fill="auto"/>
            <w:vAlign w:val="center"/>
          </w:tcPr>
          <w:p w14:paraId="7BC0C59F" w14:textId="6BD5C642" w:rsidR="001D12BE" w:rsidRDefault="008E0B7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0323BB1B" w:rsidR="001D12BE" w:rsidRDefault="008E0B7D" w:rsidP="008B2D95">
            <w:pPr>
              <w:pStyle w:val="mainbody"/>
              <w:spacing w:line="240" w:lineRule="auto"/>
              <w:jc w:val="center"/>
              <w:rPr>
                <w:color w:val="000000" w:themeColor="text1"/>
              </w:rPr>
            </w:pPr>
            <w:r>
              <w:rPr>
                <w:color w:val="000000" w:themeColor="text1"/>
              </w:rPr>
              <w:t>5</w:t>
            </w:r>
          </w:p>
        </w:tc>
      </w:tr>
      <w:tr w:rsidR="001D12BE" w:rsidRPr="00551E56" w14:paraId="434D0090" w14:textId="77777777" w:rsidTr="00326F15">
        <w:trPr>
          <w:trHeight w:val="397"/>
        </w:trPr>
        <w:tc>
          <w:tcPr>
            <w:tcW w:w="1557" w:type="dxa"/>
            <w:shd w:val="clear" w:color="auto" w:fill="auto"/>
            <w:vAlign w:val="center"/>
          </w:tcPr>
          <w:p w14:paraId="7B278950" w14:textId="474B19B2" w:rsidR="001D12BE" w:rsidRPr="001D12BE" w:rsidRDefault="008E0B7D" w:rsidP="008B2D95">
            <w:pPr>
              <w:pStyle w:val="mainbody"/>
              <w:spacing w:line="240" w:lineRule="auto"/>
              <w:jc w:val="left"/>
              <w:rPr>
                <w:color w:val="000000" w:themeColor="text1"/>
              </w:rPr>
            </w:pPr>
            <w:r w:rsidRPr="008E0B7D">
              <w:rPr>
                <w:color w:val="000000" w:themeColor="text1"/>
              </w:rPr>
              <w:t>J/503/4041</w:t>
            </w:r>
          </w:p>
        </w:tc>
        <w:tc>
          <w:tcPr>
            <w:tcW w:w="6235" w:type="dxa"/>
            <w:gridSpan w:val="2"/>
            <w:shd w:val="clear" w:color="auto" w:fill="auto"/>
            <w:vAlign w:val="center"/>
          </w:tcPr>
          <w:p w14:paraId="36CBB06F" w14:textId="25D72A0B" w:rsidR="001D12BE" w:rsidRPr="001D12BE" w:rsidRDefault="008E0B7D" w:rsidP="008B2D95">
            <w:pPr>
              <w:pStyle w:val="mainbody"/>
              <w:spacing w:line="240" w:lineRule="auto"/>
              <w:jc w:val="left"/>
              <w:rPr>
                <w:color w:val="000000" w:themeColor="text1"/>
              </w:rPr>
            </w:pPr>
            <w:r w:rsidRPr="008E0B7D">
              <w:rPr>
                <w:color w:val="000000" w:themeColor="text1"/>
              </w:rPr>
              <w:t>Knowledge of the Machine Printing Processes</w:t>
            </w:r>
          </w:p>
        </w:tc>
        <w:tc>
          <w:tcPr>
            <w:tcW w:w="850" w:type="dxa"/>
            <w:shd w:val="clear" w:color="auto" w:fill="auto"/>
            <w:vAlign w:val="center"/>
          </w:tcPr>
          <w:p w14:paraId="3F3C5B3B" w14:textId="4A74AD9B" w:rsidR="001D12BE" w:rsidRDefault="008E0B7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7934E354" w:rsidR="001D12BE" w:rsidRDefault="008E0B7D" w:rsidP="008B2D95">
            <w:pPr>
              <w:pStyle w:val="mainbody"/>
              <w:spacing w:line="240" w:lineRule="auto"/>
              <w:jc w:val="center"/>
              <w:rPr>
                <w:color w:val="000000" w:themeColor="text1"/>
              </w:rPr>
            </w:pPr>
            <w:r>
              <w:rPr>
                <w:color w:val="000000" w:themeColor="text1"/>
              </w:rPr>
              <w:t>6</w:t>
            </w:r>
          </w:p>
        </w:tc>
      </w:tr>
      <w:tr w:rsidR="008E0B7D" w:rsidRPr="00551E56" w14:paraId="31AF4925" w14:textId="77777777" w:rsidTr="00522747">
        <w:trPr>
          <w:trHeight w:val="454"/>
        </w:trPr>
        <w:tc>
          <w:tcPr>
            <w:tcW w:w="9634" w:type="dxa"/>
            <w:gridSpan w:val="5"/>
            <w:shd w:val="clear" w:color="auto" w:fill="auto"/>
            <w:vAlign w:val="center"/>
          </w:tcPr>
          <w:p w14:paraId="1BC362BA" w14:textId="729B42F2" w:rsidR="008E0B7D" w:rsidRPr="005C098A" w:rsidRDefault="008E0B7D" w:rsidP="00522747">
            <w:pPr>
              <w:pStyle w:val="mainbody"/>
              <w:spacing w:line="240" w:lineRule="auto"/>
              <w:jc w:val="left"/>
              <w:rPr>
                <w:b/>
                <w:bCs/>
                <w:color w:val="000000" w:themeColor="text1"/>
              </w:rPr>
            </w:pPr>
            <w:r w:rsidRPr="008E0B7D">
              <w:rPr>
                <w:b/>
                <w:bCs/>
                <w:color w:val="000000" w:themeColor="text1"/>
              </w:rPr>
              <w:t>Pathway 3 - Machine Printing</w:t>
            </w:r>
          </w:p>
        </w:tc>
      </w:tr>
      <w:tr w:rsidR="000F2875" w:rsidRPr="00551E56" w14:paraId="1AE1BF39" w14:textId="77777777" w:rsidTr="00326F15">
        <w:trPr>
          <w:trHeight w:val="397"/>
        </w:trPr>
        <w:tc>
          <w:tcPr>
            <w:tcW w:w="1557" w:type="dxa"/>
            <w:shd w:val="clear" w:color="auto" w:fill="auto"/>
            <w:vAlign w:val="center"/>
          </w:tcPr>
          <w:p w14:paraId="0693E2AC" w14:textId="3324FE2C" w:rsidR="000F2875" w:rsidRPr="000F2875" w:rsidRDefault="008E0B7D" w:rsidP="008B2D95">
            <w:pPr>
              <w:pStyle w:val="mainbody"/>
              <w:spacing w:line="240" w:lineRule="auto"/>
              <w:jc w:val="left"/>
              <w:rPr>
                <w:color w:val="000000" w:themeColor="text1"/>
              </w:rPr>
            </w:pPr>
            <w:r w:rsidRPr="008E0B7D">
              <w:rPr>
                <w:color w:val="000000" w:themeColor="text1"/>
              </w:rPr>
              <w:t>A/503/4036</w:t>
            </w:r>
          </w:p>
        </w:tc>
        <w:tc>
          <w:tcPr>
            <w:tcW w:w="6235" w:type="dxa"/>
            <w:gridSpan w:val="2"/>
            <w:shd w:val="clear" w:color="auto" w:fill="auto"/>
            <w:vAlign w:val="center"/>
          </w:tcPr>
          <w:p w14:paraId="726B99CD" w14:textId="65CFD13E" w:rsidR="000F2875" w:rsidRPr="000F2875" w:rsidRDefault="00441410" w:rsidP="008B2D95">
            <w:pPr>
              <w:pStyle w:val="mainbody"/>
              <w:spacing w:line="240" w:lineRule="auto"/>
              <w:jc w:val="left"/>
              <w:rPr>
                <w:color w:val="000000" w:themeColor="text1"/>
              </w:rPr>
            </w:pPr>
            <w:r w:rsidRPr="00441410">
              <w:rPr>
                <w:color w:val="000000" w:themeColor="text1"/>
              </w:rPr>
              <w:t>Knowledge of Company productivity, cost effectiveness, quality assurance and maintenance requirements in Machine Printing or Print Finishing Work</w:t>
            </w:r>
          </w:p>
        </w:tc>
        <w:tc>
          <w:tcPr>
            <w:tcW w:w="850" w:type="dxa"/>
            <w:shd w:val="clear" w:color="auto" w:fill="auto"/>
            <w:vAlign w:val="center"/>
          </w:tcPr>
          <w:p w14:paraId="24F84BF4" w14:textId="709B1E2C" w:rsidR="000F2875" w:rsidRDefault="0044141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09E17859" w:rsidR="000F2875" w:rsidRDefault="00441410" w:rsidP="008B2D95">
            <w:pPr>
              <w:pStyle w:val="mainbody"/>
              <w:spacing w:line="240" w:lineRule="auto"/>
              <w:jc w:val="center"/>
              <w:rPr>
                <w:color w:val="000000" w:themeColor="text1"/>
              </w:rPr>
            </w:pPr>
            <w:r>
              <w:rPr>
                <w:color w:val="000000" w:themeColor="text1"/>
              </w:rPr>
              <w:t>6</w:t>
            </w:r>
          </w:p>
        </w:tc>
      </w:tr>
      <w:tr w:rsidR="000F2875" w:rsidRPr="00551E56" w14:paraId="5A6B4291" w14:textId="77777777" w:rsidTr="00326F15">
        <w:trPr>
          <w:trHeight w:val="397"/>
        </w:trPr>
        <w:tc>
          <w:tcPr>
            <w:tcW w:w="1557" w:type="dxa"/>
            <w:shd w:val="clear" w:color="auto" w:fill="auto"/>
            <w:vAlign w:val="center"/>
          </w:tcPr>
          <w:p w14:paraId="4A08CBE6" w14:textId="74C54960" w:rsidR="000F2875" w:rsidRPr="000F2875" w:rsidRDefault="00441410" w:rsidP="008B2D95">
            <w:pPr>
              <w:pStyle w:val="mainbody"/>
              <w:spacing w:line="240" w:lineRule="auto"/>
              <w:jc w:val="left"/>
              <w:rPr>
                <w:color w:val="000000" w:themeColor="text1"/>
              </w:rPr>
            </w:pPr>
            <w:r w:rsidRPr="00441410">
              <w:rPr>
                <w:color w:val="000000" w:themeColor="text1"/>
              </w:rPr>
              <w:t>J/503/4041</w:t>
            </w:r>
          </w:p>
        </w:tc>
        <w:tc>
          <w:tcPr>
            <w:tcW w:w="6235" w:type="dxa"/>
            <w:gridSpan w:val="2"/>
            <w:shd w:val="clear" w:color="auto" w:fill="auto"/>
            <w:vAlign w:val="center"/>
          </w:tcPr>
          <w:p w14:paraId="4E831B1C" w14:textId="424940C5" w:rsidR="000F2875" w:rsidRPr="000F2875" w:rsidRDefault="00441410" w:rsidP="008B2D95">
            <w:pPr>
              <w:pStyle w:val="mainbody"/>
              <w:spacing w:line="240" w:lineRule="auto"/>
              <w:jc w:val="left"/>
              <w:rPr>
                <w:color w:val="000000" w:themeColor="text1"/>
              </w:rPr>
            </w:pPr>
            <w:r w:rsidRPr="00441410">
              <w:rPr>
                <w:color w:val="000000" w:themeColor="text1"/>
              </w:rPr>
              <w:t>Knowledge of the Machine Printing Processes</w:t>
            </w:r>
          </w:p>
        </w:tc>
        <w:tc>
          <w:tcPr>
            <w:tcW w:w="850" w:type="dxa"/>
            <w:shd w:val="clear" w:color="auto" w:fill="auto"/>
            <w:vAlign w:val="center"/>
          </w:tcPr>
          <w:p w14:paraId="16B3D1DF" w14:textId="0F469B5D" w:rsidR="000F2875" w:rsidRDefault="0044141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22C2F170" w:rsidR="000F2875" w:rsidRDefault="00441410" w:rsidP="008B2D95">
            <w:pPr>
              <w:pStyle w:val="mainbody"/>
              <w:spacing w:line="240" w:lineRule="auto"/>
              <w:jc w:val="center"/>
              <w:rPr>
                <w:color w:val="000000" w:themeColor="text1"/>
              </w:rPr>
            </w:pPr>
            <w:r>
              <w:rPr>
                <w:color w:val="000000" w:themeColor="text1"/>
              </w:rPr>
              <w:t>6</w:t>
            </w:r>
          </w:p>
        </w:tc>
      </w:tr>
      <w:tr w:rsidR="00441410" w:rsidRPr="00551E56" w14:paraId="59EBCB56" w14:textId="77777777" w:rsidTr="00522747">
        <w:trPr>
          <w:trHeight w:val="454"/>
        </w:trPr>
        <w:tc>
          <w:tcPr>
            <w:tcW w:w="9634" w:type="dxa"/>
            <w:gridSpan w:val="5"/>
            <w:shd w:val="clear" w:color="auto" w:fill="auto"/>
            <w:vAlign w:val="center"/>
          </w:tcPr>
          <w:p w14:paraId="7E31DCAD" w14:textId="6D043655" w:rsidR="00441410" w:rsidRPr="005C098A" w:rsidRDefault="008A756A" w:rsidP="00522747">
            <w:pPr>
              <w:pStyle w:val="mainbody"/>
              <w:spacing w:line="240" w:lineRule="auto"/>
              <w:jc w:val="left"/>
              <w:rPr>
                <w:b/>
                <w:bCs/>
                <w:color w:val="000000" w:themeColor="text1"/>
              </w:rPr>
            </w:pPr>
            <w:r w:rsidRPr="008A756A">
              <w:rPr>
                <w:b/>
                <w:bCs/>
                <w:color w:val="000000" w:themeColor="text1"/>
              </w:rPr>
              <w:t>Pathway 4 - Print Finishing</w:t>
            </w:r>
          </w:p>
        </w:tc>
      </w:tr>
      <w:tr w:rsidR="00190C2A" w:rsidRPr="00551E56" w14:paraId="4BC3E3B5" w14:textId="77777777" w:rsidTr="00326F15">
        <w:trPr>
          <w:trHeight w:val="397"/>
        </w:trPr>
        <w:tc>
          <w:tcPr>
            <w:tcW w:w="1557" w:type="dxa"/>
            <w:shd w:val="clear" w:color="auto" w:fill="auto"/>
            <w:vAlign w:val="center"/>
          </w:tcPr>
          <w:p w14:paraId="4864DA38" w14:textId="5B02B2E0" w:rsidR="00190C2A" w:rsidRPr="00190C2A" w:rsidRDefault="008A756A" w:rsidP="008B2D95">
            <w:pPr>
              <w:pStyle w:val="mainbody"/>
              <w:spacing w:line="240" w:lineRule="auto"/>
              <w:jc w:val="left"/>
              <w:rPr>
                <w:color w:val="000000" w:themeColor="text1"/>
              </w:rPr>
            </w:pPr>
            <w:r w:rsidRPr="008A756A">
              <w:rPr>
                <w:color w:val="000000" w:themeColor="text1"/>
              </w:rPr>
              <w:t>A/503/4036</w:t>
            </w:r>
          </w:p>
        </w:tc>
        <w:tc>
          <w:tcPr>
            <w:tcW w:w="6235" w:type="dxa"/>
            <w:gridSpan w:val="2"/>
            <w:shd w:val="clear" w:color="auto" w:fill="auto"/>
            <w:vAlign w:val="center"/>
          </w:tcPr>
          <w:p w14:paraId="60146FE2" w14:textId="3E781ACE" w:rsidR="00190C2A" w:rsidRPr="00190C2A" w:rsidRDefault="008A756A" w:rsidP="008B2D95">
            <w:pPr>
              <w:pStyle w:val="mainbody"/>
              <w:spacing w:line="240" w:lineRule="auto"/>
              <w:jc w:val="left"/>
              <w:rPr>
                <w:color w:val="000000" w:themeColor="text1"/>
              </w:rPr>
            </w:pPr>
            <w:r w:rsidRPr="008A756A">
              <w:rPr>
                <w:color w:val="000000" w:themeColor="text1"/>
              </w:rPr>
              <w:t>Knowledge of Company productivity, cost effectiveness, quality assurance and maintenance requirements in Machine Printing or Print Finishing Work</w:t>
            </w:r>
          </w:p>
        </w:tc>
        <w:tc>
          <w:tcPr>
            <w:tcW w:w="850" w:type="dxa"/>
            <w:shd w:val="clear" w:color="auto" w:fill="auto"/>
            <w:vAlign w:val="center"/>
          </w:tcPr>
          <w:p w14:paraId="0B150D44" w14:textId="20A9291B" w:rsidR="00190C2A" w:rsidRDefault="008A756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1AAAD37" w14:textId="149AA33D" w:rsidR="00190C2A" w:rsidRDefault="008A756A" w:rsidP="008B2D95">
            <w:pPr>
              <w:pStyle w:val="mainbody"/>
              <w:spacing w:line="240" w:lineRule="auto"/>
              <w:jc w:val="center"/>
              <w:rPr>
                <w:color w:val="000000" w:themeColor="text1"/>
              </w:rPr>
            </w:pPr>
            <w:r>
              <w:rPr>
                <w:color w:val="000000" w:themeColor="text1"/>
              </w:rPr>
              <w:t>6</w:t>
            </w:r>
          </w:p>
        </w:tc>
      </w:tr>
      <w:tr w:rsidR="00190C2A" w:rsidRPr="00551E56" w14:paraId="4C796947" w14:textId="77777777" w:rsidTr="00326F15">
        <w:trPr>
          <w:trHeight w:val="397"/>
        </w:trPr>
        <w:tc>
          <w:tcPr>
            <w:tcW w:w="1557" w:type="dxa"/>
            <w:shd w:val="clear" w:color="auto" w:fill="auto"/>
            <w:vAlign w:val="center"/>
          </w:tcPr>
          <w:p w14:paraId="0C71ADAE" w14:textId="44FE27E9" w:rsidR="00190C2A" w:rsidRPr="00190C2A" w:rsidRDefault="008A756A" w:rsidP="008B2D95">
            <w:pPr>
              <w:pStyle w:val="mainbody"/>
              <w:spacing w:line="240" w:lineRule="auto"/>
              <w:jc w:val="left"/>
              <w:rPr>
                <w:color w:val="000000" w:themeColor="text1"/>
              </w:rPr>
            </w:pPr>
            <w:r w:rsidRPr="008A756A">
              <w:rPr>
                <w:color w:val="000000" w:themeColor="text1"/>
              </w:rPr>
              <w:t>J/503/4038</w:t>
            </w:r>
          </w:p>
        </w:tc>
        <w:tc>
          <w:tcPr>
            <w:tcW w:w="6235" w:type="dxa"/>
            <w:gridSpan w:val="2"/>
            <w:shd w:val="clear" w:color="auto" w:fill="auto"/>
            <w:vAlign w:val="center"/>
          </w:tcPr>
          <w:p w14:paraId="0020B1C0" w14:textId="05F2725B" w:rsidR="00190C2A" w:rsidRPr="00190C2A" w:rsidRDefault="006919CD" w:rsidP="008B2D95">
            <w:pPr>
              <w:pStyle w:val="mainbody"/>
              <w:spacing w:line="240" w:lineRule="auto"/>
              <w:jc w:val="left"/>
              <w:rPr>
                <w:color w:val="000000" w:themeColor="text1"/>
              </w:rPr>
            </w:pPr>
            <w:r w:rsidRPr="006919CD">
              <w:rPr>
                <w:color w:val="000000" w:themeColor="text1"/>
              </w:rPr>
              <w:t>Knowledge of Print Finishing Operations</w:t>
            </w:r>
          </w:p>
        </w:tc>
        <w:tc>
          <w:tcPr>
            <w:tcW w:w="850" w:type="dxa"/>
            <w:shd w:val="clear" w:color="auto" w:fill="auto"/>
            <w:vAlign w:val="center"/>
          </w:tcPr>
          <w:p w14:paraId="014FB572" w14:textId="4119C6AE" w:rsidR="00190C2A" w:rsidRDefault="006919C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14E7CED7" w:rsidR="00190C2A" w:rsidRDefault="006919CD" w:rsidP="008B2D95">
            <w:pPr>
              <w:pStyle w:val="mainbody"/>
              <w:spacing w:line="240" w:lineRule="auto"/>
              <w:jc w:val="center"/>
              <w:rPr>
                <w:color w:val="000000" w:themeColor="text1"/>
              </w:rPr>
            </w:pPr>
            <w:r>
              <w:rPr>
                <w:color w:val="000000" w:themeColor="text1"/>
              </w:rPr>
              <w:t>6</w:t>
            </w:r>
          </w:p>
        </w:tc>
      </w:tr>
    </w:tbl>
    <w:p w14:paraId="63FCA356" w14:textId="77777777" w:rsidR="006919CD" w:rsidRDefault="006919CD">
      <w:r>
        <w:br w:type="page"/>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6235"/>
        <w:gridCol w:w="850"/>
        <w:gridCol w:w="992"/>
      </w:tblGrid>
      <w:tr w:rsidR="006919CD" w:rsidRPr="00551E56" w14:paraId="62773E2A" w14:textId="77777777" w:rsidTr="00522747">
        <w:trPr>
          <w:trHeight w:val="454"/>
        </w:trPr>
        <w:tc>
          <w:tcPr>
            <w:tcW w:w="9634" w:type="dxa"/>
            <w:gridSpan w:val="4"/>
            <w:shd w:val="clear" w:color="auto" w:fill="auto"/>
            <w:vAlign w:val="center"/>
          </w:tcPr>
          <w:p w14:paraId="6FF699CD" w14:textId="6F2829EE" w:rsidR="006919CD" w:rsidRPr="005C098A" w:rsidRDefault="006919CD" w:rsidP="00522747">
            <w:pPr>
              <w:pStyle w:val="mainbody"/>
              <w:spacing w:line="240" w:lineRule="auto"/>
              <w:jc w:val="left"/>
              <w:rPr>
                <w:b/>
                <w:bCs/>
                <w:color w:val="000000" w:themeColor="text1"/>
              </w:rPr>
            </w:pPr>
            <w:r w:rsidRPr="006919CD">
              <w:rPr>
                <w:b/>
                <w:bCs/>
                <w:color w:val="000000" w:themeColor="text1"/>
              </w:rPr>
              <w:lastRenderedPageBreak/>
              <w:t>Pathway 5 - Carton Manufacturing</w:t>
            </w:r>
          </w:p>
        </w:tc>
      </w:tr>
      <w:tr w:rsidR="006F59FB" w:rsidRPr="00551E56" w14:paraId="697F3E1F" w14:textId="77777777" w:rsidTr="00326F15">
        <w:trPr>
          <w:trHeight w:val="397"/>
        </w:trPr>
        <w:tc>
          <w:tcPr>
            <w:tcW w:w="1557" w:type="dxa"/>
            <w:shd w:val="clear" w:color="auto" w:fill="auto"/>
            <w:vAlign w:val="center"/>
          </w:tcPr>
          <w:p w14:paraId="6C2CF7DF" w14:textId="39BF4EE7" w:rsidR="006F59FB" w:rsidRPr="006F59FB" w:rsidRDefault="006919CD" w:rsidP="008B2D95">
            <w:pPr>
              <w:pStyle w:val="mainbody"/>
              <w:spacing w:line="240" w:lineRule="auto"/>
              <w:jc w:val="left"/>
              <w:rPr>
                <w:color w:val="000000" w:themeColor="text1"/>
              </w:rPr>
            </w:pPr>
            <w:r w:rsidRPr="006919CD">
              <w:rPr>
                <w:color w:val="000000" w:themeColor="text1"/>
              </w:rPr>
              <w:t>L/503/4042</w:t>
            </w:r>
          </w:p>
        </w:tc>
        <w:tc>
          <w:tcPr>
            <w:tcW w:w="6235" w:type="dxa"/>
            <w:shd w:val="clear" w:color="auto" w:fill="auto"/>
            <w:vAlign w:val="center"/>
          </w:tcPr>
          <w:p w14:paraId="142E2851" w14:textId="634EAAE5" w:rsidR="006F59FB" w:rsidRPr="006F59FB" w:rsidRDefault="00C91E4D" w:rsidP="008B2D95">
            <w:pPr>
              <w:pStyle w:val="mainbody"/>
              <w:spacing w:line="240" w:lineRule="auto"/>
              <w:jc w:val="left"/>
              <w:rPr>
                <w:color w:val="000000" w:themeColor="text1"/>
              </w:rPr>
            </w:pPr>
            <w:r w:rsidRPr="00C91E4D">
              <w:rPr>
                <w:color w:val="000000" w:themeColor="text1"/>
              </w:rPr>
              <w:t>Knowledge of the Principles of Carton Manufacturing/Enhancement Processes</w:t>
            </w:r>
          </w:p>
        </w:tc>
        <w:tc>
          <w:tcPr>
            <w:tcW w:w="850" w:type="dxa"/>
            <w:shd w:val="clear" w:color="auto" w:fill="auto"/>
            <w:vAlign w:val="center"/>
          </w:tcPr>
          <w:p w14:paraId="49CD67E5" w14:textId="5BFEF8CB" w:rsidR="006F59FB" w:rsidRDefault="00C91E4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8178612" w14:textId="5F9B6946" w:rsidR="006F59FB" w:rsidRDefault="00C91E4D" w:rsidP="008B2D95">
            <w:pPr>
              <w:pStyle w:val="mainbody"/>
              <w:spacing w:line="240" w:lineRule="auto"/>
              <w:jc w:val="center"/>
              <w:rPr>
                <w:color w:val="000000" w:themeColor="text1"/>
              </w:rPr>
            </w:pPr>
            <w:r>
              <w:rPr>
                <w:color w:val="000000" w:themeColor="text1"/>
              </w:rPr>
              <w:t>5</w:t>
            </w:r>
          </w:p>
        </w:tc>
      </w:tr>
      <w:tr w:rsidR="00966218" w:rsidRPr="00551E56" w14:paraId="314C7EA5" w14:textId="77777777" w:rsidTr="00326F15">
        <w:trPr>
          <w:trHeight w:val="397"/>
        </w:trPr>
        <w:tc>
          <w:tcPr>
            <w:tcW w:w="1557" w:type="dxa"/>
            <w:shd w:val="clear" w:color="auto" w:fill="auto"/>
            <w:vAlign w:val="center"/>
          </w:tcPr>
          <w:p w14:paraId="69CC54E0" w14:textId="3B8C4C52" w:rsidR="00966218" w:rsidRPr="00966218" w:rsidRDefault="00C91E4D" w:rsidP="008B2D95">
            <w:pPr>
              <w:pStyle w:val="mainbody"/>
              <w:spacing w:line="240" w:lineRule="auto"/>
              <w:jc w:val="left"/>
              <w:rPr>
                <w:color w:val="000000" w:themeColor="text1"/>
              </w:rPr>
            </w:pPr>
            <w:r w:rsidRPr="00C91E4D">
              <w:rPr>
                <w:color w:val="000000" w:themeColor="text1"/>
              </w:rPr>
              <w:t>A/503/4036</w:t>
            </w:r>
          </w:p>
        </w:tc>
        <w:tc>
          <w:tcPr>
            <w:tcW w:w="6235" w:type="dxa"/>
            <w:shd w:val="clear" w:color="auto" w:fill="auto"/>
            <w:vAlign w:val="center"/>
          </w:tcPr>
          <w:p w14:paraId="5EE11247" w14:textId="4698C9A1" w:rsidR="00966218" w:rsidRPr="00966218" w:rsidRDefault="00C91E4D" w:rsidP="008B2D95">
            <w:pPr>
              <w:pStyle w:val="mainbody"/>
              <w:spacing w:line="240" w:lineRule="auto"/>
              <w:jc w:val="left"/>
              <w:rPr>
                <w:color w:val="000000" w:themeColor="text1"/>
              </w:rPr>
            </w:pPr>
            <w:r w:rsidRPr="00C91E4D">
              <w:rPr>
                <w:color w:val="000000" w:themeColor="text1"/>
              </w:rPr>
              <w:t>Knowledge of Company productivity, cost effectiveness, quality assurance and maintenance requirements in Machine Printing or Print Finishing</w:t>
            </w:r>
          </w:p>
        </w:tc>
        <w:tc>
          <w:tcPr>
            <w:tcW w:w="850" w:type="dxa"/>
            <w:shd w:val="clear" w:color="auto" w:fill="auto"/>
            <w:vAlign w:val="center"/>
          </w:tcPr>
          <w:p w14:paraId="7B872620" w14:textId="6E7C102F" w:rsidR="00966218" w:rsidRDefault="00C91E4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2885CE17" w:rsidR="00966218" w:rsidRDefault="00C91E4D" w:rsidP="008B2D95">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0D640213" w14:textId="77777777" w:rsidR="004609F4" w:rsidRDefault="004609F4" w:rsidP="004609F4">
      <w:pPr>
        <w:pStyle w:val="mainbody"/>
        <w:numPr>
          <w:ilvl w:val="0"/>
          <w:numId w:val="8"/>
        </w:numPr>
        <w:rPr>
          <w:szCs w:val="24"/>
        </w:rPr>
      </w:pPr>
      <w:r w:rsidRPr="004609F4">
        <w:rPr>
          <w:szCs w:val="24"/>
        </w:rPr>
        <w:t xml:space="preserve">Coursework, </w:t>
      </w:r>
    </w:p>
    <w:p w14:paraId="27D36895" w14:textId="77777777" w:rsidR="008E2350" w:rsidRDefault="008E2350" w:rsidP="004609F4">
      <w:pPr>
        <w:pStyle w:val="mainbody"/>
        <w:numPr>
          <w:ilvl w:val="0"/>
          <w:numId w:val="8"/>
        </w:numPr>
        <w:rPr>
          <w:szCs w:val="24"/>
        </w:rPr>
      </w:pPr>
      <w:r w:rsidRPr="008E2350">
        <w:rPr>
          <w:szCs w:val="24"/>
        </w:rPr>
        <w:t xml:space="preserve">Oral Examination, </w:t>
      </w:r>
    </w:p>
    <w:p w14:paraId="56FC0C1D" w14:textId="21B49561" w:rsidR="003A525B" w:rsidRDefault="004609F4" w:rsidP="004609F4">
      <w:pPr>
        <w:pStyle w:val="mainbody"/>
        <w:numPr>
          <w:ilvl w:val="0"/>
          <w:numId w:val="8"/>
        </w:numPr>
        <w:rPr>
          <w:szCs w:val="24"/>
        </w:rPr>
      </w:pPr>
      <w:bookmarkStart w:id="0" w:name="_GoBack"/>
      <w:bookmarkEnd w:id="0"/>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7D49" w14:textId="77777777" w:rsidR="00EB49E8" w:rsidRDefault="00EB49E8">
      <w:pPr>
        <w:spacing w:after="0" w:line="240" w:lineRule="auto"/>
      </w:pPr>
      <w:r>
        <w:separator/>
      </w:r>
    </w:p>
  </w:endnote>
  <w:endnote w:type="continuationSeparator" w:id="0">
    <w:p w14:paraId="5BD83E07" w14:textId="77777777" w:rsidR="00EB49E8" w:rsidRDefault="00EB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AD4C" w14:textId="77777777" w:rsidR="00EB49E8" w:rsidRDefault="00EB49E8">
      <w:pPr>
        <w:spacing w:after="0" w:line="240" w:lineRule="auto"/>
      </w:pPr>
      <w:r>
        <w:separator/>
      </w:r>
    </w:p>
  </w:footnote>
  <w:footnote w:type="continuationSeparator" w:id="0">
    <w:p w14:paraId="3705B875" w14:textId="77777777" w:rsidR="00EB49E8" w:rsidRDefault="00EB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7"/>
  </w:num>
  <w:num w:numId="3">
    <w:abstractNumId w:val="11"/>
  </w:num>
  <w:num w:numId="4">
    <w:abstractNumId w:val="14"/>
  </w:num>
  <w:num w:numId="5">
    <w:abstractNumId w:val="2"/>
  </w:num>
  <w:num w:numId="6">
    <w:abstractNumId w:val="1"/>
  </w:num>
  <w:num w:numId="7">
    <w:abstractNumId w:val="13"/>
  </w:num>
  <w:num w:numId="8">
    <w:abstractNumId w:val="3"/>
  </w:num>
  <w:num w:numId="9">
    <w:abstractNumId w:val="6"/>
  </w:num>
  <w:num w:numId="10">
    <w:abstractNumId w:val="9"/>
  </w:num>
  <w:num w:numId="11">
    <w:abstractNumId w:val="4"/>
  </w:num>
  <w:num w:numId="12">
    <w:abstractNumId w:val="1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91A0E"/>
    <w:rsid w:val="000D459B"/>
    <w:rsid w:val="000F2875"/>
    <w:rsid w:val="00143D98"/>
    <w:rsid w:val="00151DA3"/>
    <w:rsid w:val="00185808"/>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35B4"/>
    <w:rsid w:val="0036023D"/>
    <w:rsid w:val="00383149"/>
    <w:rsid w:val="00395B53"/>
    <w:rsid w:val="003A1DFC"/>
    <w:rsid w:val="003A525B"/>
    <w:rsid w:val="003A69F1"/>
    <w:rsid w:val="003B3D34"/>
    <w:rsid w:val="003B4C52"/>
    <w:rsid w:val="003B7A13"/>
    <w:rsid w:val="003E0535"/>
    <w:rsid w:val="003E746B"/>
    <w:rsid w:val="003F1A03"/>
    <w:rsid w:val="004200B4"/>
    <w:rsid w:val="00441410"/>
    <w:rsid w:val="004609F4"/>
    <w:rsid w:val="0049109B"/>
    <w:rsid w:val="004B0612"/>
    <w:rsid w:val="004F34A2"/>
    <w:rsid w:val="0052517F"/>
    <w:rsid w:val="00530347"/>
    <w:rsid w:val="00536943"/>
    <w:rsid w:val="00544A7A"/>
    <w:rsid w:val="0055335D"/>
    <w:rsid w:val="00572922"/>
    <w:rsid w:val="0057401B"/>
    <w:rsid w:val="00574566"/>
    <w:rsid w:val="00583017"/>
    <w:rsid w:val="00594B7E"/>
    <w:rsid w:val="005B2174"/>
    <w:rsid w:val="005C098A"/>
    <w:rsid w:val="005C15DD"/>
    <w:rsid w:val="005E1BAB"/>
    <w:rsid w:val="005F7ABF"/>
    <w:rsid w:val="00607C22"/>
    <w:rsid w:val="00646F10"/>
    <w:rsid w:val="00671A28"/>
    <w:rsid w:val="006919CD"/>
    <w:rsid w:val="0069383A"/>
    <w:rsid w:val="006946A8"/>
    <w:rsid w:val="006A6792"/>
    <w:rsid w:val="006B1EB7"/>
    <w:rsid w:val="006B481B"/>
    <w:rsid w:val="006D0971"/>
    <w:rsid w:val="006F182B"/>
    <w:rsid w:val="006F4E39"/>
    <w:rsid w:val="006F59FB"/>
    <w:rsid w:val="00700390"/>
    <w:rsid w:val="007004AE"/>
    <w:rsid w:val="0076139A"/>
    <w:rsid w:val="00765D04"/>
    <w:rsid w:val="00766C39"/>
    <w:rsid w:val="00785D73"/>
    <w:rsid w:val="00796AA7"/>
    <w:rsid w:val="007C3EAA"/>
    <w:rsid w:val="007E0AED"/>
    <w:rsid w:val="00827E42"/>
    <w:rsid w:val="0088470B"/>
    <w:rsid w:val="00884967"/>
    <w:rsid w:val="008A756A"/>
    <w:rsid w:val="008B76AD"/>
    <w:rsid w:val="008D0A3F"/>
    <w:rsid w:val="008E0B7D"/>
    <w:rsid w:val="008E2350"/>
    <w:rsid w:val="008E7AAF"/>
    <w:rsid w:val="008F64AC"/>
    <w:rsid w:val="00914089"/>
    <w:rsid w:val="009342AB"/>
    <w:rsid w:val="009401E9"/>
    <w:rsid w:val="0094305C"/>
    <w:rsid w:val="00945496"/>
    <w:rsid w:val="00954E4F"/>
    <w:rsid w:val="009635DE"/>
    <w:rsid w:val="00963D12"/>
    <w:rsid w:val="00966218"/>
    <w:rsid w:val="00972840"/>
    <w:rsid w:val="00975FA7"/>
    <w:rsid w:val="00984138"/>
    <w:rsid w:val="00993392"/>
    <w:rsid w:val="009A3258"/>
    <w:rsid w:val="009C25C3"/>
    <w:rsid w:val="009C46BB"/>
    <w:rsid w:val="009E2FD5"/>
    <w:rsid w:val="009E4AFE"/>
    <w:rsid w:val="009E5083"/>
    <w:rsid w:val="00A043E9"/>
    <w:rsid w:val="00A15B60"/>
    <w:rsid w:val="00A438E3"/>
    <w:rsid w:val="00A75A9B"/>
    <w:rsid w:val="00A91549"/>
    <w:rsid w:val="00AA302E"/>
    <w:rsid w:val="00AB1807"/>
    <w:rsid w:val="00AD785C"/>
    <w:rsid w:val="00B2587A"/>
    <w:rsid w:val="00B37786"/>
    <w:rsid w:val="00B408C2"/>
    <w:rsid w:val="00B50C6C"/>
    <w:rsid w:val="00B51435"/>
    <w:rsid w:val="00B8023C"/>
    <w:rsid w:val="00BB2B93"/>
    <w:rsid w:val="00BC1C78"/>
    <w:rsid w:val="00BD346E"/>
    <w:rsid w:val="00BD6F0E"/>
    <w:rsid w:val="00BE2993"/>
    <w:rsid w:val="00C05171"/>
    <w:rsid w:val="00C438DF"/>
    <w:rsid w:val="00C65B2E"/>
    <w:rsid w:val="00C75511"/>
    <w:rsid w:val="00C87A67"/>
    <w:rsid w:val="00C91E4D"/>
    <w:rsid w:val="00CB2F18"/>
    <w:rsid w:val="00CB3631"/>
    <w:rsid w:val="00CB4C19"/>
    <w:rsid w:val="00CC21F7"/>
    <w:rsid w:val="00CD31A6"/>
    <w:rsid w:val="00D20DF4"/>
    <w:rsid w:val="00D21911"/>
    <w:rsid w:val="00D23F71"/>
    <w:rsid w:val="00D506FA"/>
    <w:rsid w:val="00D53A8E"/>
    <w:rsid w:val="00D6321E"/>
    <w:rsid w:val="00D64E46"/>
    <w:rsid w:val="00D725E9"/>
    <w:rsid w:val="00D80D05"/>
    <w:rsid w:val="00DC5B6A"/>
    <w:rsid w:val="00DD6736"/>
    <w:rsid w:val="00DE05D5"/>
    <w:rsid w:val="00DF069A"/>
    <w:rsid w:val="00DF4BF0"/>
    <w:rsid w:val="00E16CB3"/>
    <w:rsid w:val="00E55187"/>
    <w:rsid w:val="00E91723"/>
    <w:rsid w:val="00E96BBA"/>
    <w:rsid w:val="00EB49E8"/>
    <w:rsid w:val="00EC62A5"/>
    <w:rsid w:val="00EE7374"/>
    <w:rsid w:val="00EF242E"/>
    <w:rsid w:val="00F00764"/>
    <w:rsid w:val="00F24CC7"/>
    <w:rsid w:val="00F30A63"/>
    <w:rsid w:val="00F373B2"/>
    <w:rsid w:val="00F45362"/>
    <w:rsid w:val="00F72B60"/>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18</cp:revision>
  <dcterms:created xsi:type="dcterms:W3CDTF">2019-07-11T11:17:00Z</dcterms:created>
  <dcterms:modified xsi:type="dcterms:W3CDTF">2019-07-11T11:33:00Z</dcterms:modified>
</cp:coreProperties>
</file>