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56BF" w14:textId="75BC3564" w:rsidR="001C7890" w:rsidRDefault="00C438DF" w:rsidP="00107A0A">
      <w:pPr>
        <w:pStyle w:val="Heading"/>
      </w:pPr>
      <w:r>
        <w:t xml:space="preserve">Qualification </w:t>
      </w:r>
      <w:r w:rsidR="0027141B">
        <w:t>T</w:t>
      </w:r>
      <w:r>
        <w:t xml:space="preserve">itle: </w:t>
      </w:r>
      <w:r w:rsidR="00C15BF1">
        <w:t>GQA Level 5 NVQ Diploma in Controlling Lifting Operations - Planning Lifts (Construction)</w:t>
      </w:r>
    </w:p>
    <w:p w14:paraId="73D30DF5" w14:textId="01E4AA2A" w:rsidR="00EE3744" w:rsidRDefault="0027141B" w:rsidP="003A1DFC">
      <w:pPr>
        <w:pStyle w:val="Heading"/>
      </w:pPr>
      <w:r w:rsidRPr="0027141B">
        <w:t>Qualification Number</w:t>
      </w:r>
      <w:r w:rsidR="00C438DF">
        <w:t xml:space="preserve">: </w:t>
      </w:r>
      <w:r w:rsidR="003323BB" w:rsidRPr="003323BB">
        <w:t>603/2746/7</w:t>
      </w:r>
    </w:p>
    <w:p w14:paraId="07E0D07C" w14:textId="77777777" w:rsidR="006B65DB" w:rsidRDefault="006B65DB" w:rsidP="006B65DB">
      <w:pPr>
        <w:pStyle w:val="mainbody"/>
      </w:pP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08E8BBE8" w14:textId="77777777" w:rsidR="00C15BF1" w:rsidRDefault="00C15BF1" w:rsidP="006B65DB">
      <w:pPr>
        <w:pStyle w:val="mainbody"/>
      </w:pPr>
      <w:r>
        <w:t xml:space="preserve">The GQA Level 5 NVQ Certificate Diploma in Controlling Lifting Operations - Planning Lifts (Construction) has been developed for delivery in a Construction related working environment. This NVQ qualification is made up of 7 mandatory units and requires candidates to demonstrate, in a real workplace environment, competence against a set of performance criteria and an understanding of the theoretical aspects of the role and </w:t>
      </w:r>
      <w:proofErr w:type="spellStart"/>
      <w:r>
        <w:t>assocaited</w:t>
      </w:r>
      <w:proofErr w:type="spellEnd"/>
      <w:r>
        <w:t xml:space="preserve"> tasks. Assessment will be carried out by an occupationally competent and qualified assessor. </w:t>
      </w:r>
    </w:p>
    <w:p w14:paraId="5A7A8D90" w14:textId="77777777" w:rsidR="00C15BF1" w:rsidRDefault="00C15BF1" w:rsidP="006B65DB">
      <w:pPr>
        <w:pStyle w:val="mainbody"/>
      </w:pPr>
    </w:p>
    <w:p w14:paraId="536A28E7" w14:textId="637D56DF" w:rsidR="006B65DB" w:rsidRDefault="00C15BF1" w:rsidP="006B65DB">
      <w:pPr>
        <w:pStyle w:val="mainbody"/>
      </w:pPr>
      <w:r>
        <w:t xml:space="preserve">To allow correct identification of specialisms , on completion of the qualification the assessment centre must select one of the </w:t>
      </w:r>
      <w:proofErr w:type="spellStart"/>
      <w:r>
        <w:t>folowing</w:t>
      </w:r>
      <w:proofErr w:type="spellEnd"/>
      <w:r>
        <w:t xml:space="preserve"> endorsements: Access equipment, Crawler cranes, Drilling rigs, Excavators, Floating lifting equipment, Hoists, Knuckle-boom cranes, Lorry loaders, </w:t>
      </w:r>
      <w:proofErr w:type="spellStart"/>
      <w:r>
        <w:t>Masted</w:t>
      </w:r>
      <w:proofErr w:type="spellEnd"/>
      <w:r>
        <w:t xml:space="preserve"> forklifts, Mobile cranes, Non-mechanised lifting equipment, Overhead cranes, Pedestal cranes, Piling rigs, Specialist lifting equipment, Telescopic handlers, Tower cranes</w:t>
      </w:r>
    </w:p>
    <w:p w14:paraId="429ADA53" w14:textId="77777777" w:rsidR="007A2514" w:rsidRPr="00AC5090" w:rsidRDefault="007A2514"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08D6CB8E" w14:textId="77777777" w:rsidR="00265300" w:rsidRDefault="00265300" w:rsidP="00265300">
      <w:pPr>
        <w:pStyle w:val="mainbody"/>
      </w:pPr>
    </w:p>
    <w:p w14:paraId="334BAB01" w14:textId="77777777" w:rsidR="00265300" w:rsidRDefault="00265300" w:rsidP="00265300">
      <w:pPr>
        <w:pStyle w:val="Heading1"/>
      </w:pPr>
      <w:r>
        <w:t>CSCS Cards</w:t>
      </w:r>
    </w:p>
    <w:p w14:paraId="78EC037A" w14:textId="77777777" w:rsidR="00265300" w:rsidRDefault="00265300" w:rsidP="00265300">
      <w:pPr>
        <w:pStyle w:val="mainbody"/>
      </w:pPr>
      <w:r>
        <w:t xml:space="preserve">On completion of this qualification and either the </w:t>
      </w:r>
      <w:proofErr w:type="spellStart"/>
      <w:r>
        <w:t>CITB</w:t>
      </w:r>
      <w:proofErr w:type="spellEnd"/>
      <w:r>
        <w:t xml:space="preserve"> Health, Safety and Environmental touch screen test or the </w:t>
      </w:r>
      <w:proofErr w:type="spellStart"/>
      <w:r>
        <w:t>GQA</w:t>
      </w:r>
      <w:proofErr w:type="spellEnd"/>
      <w:r>
        <w:t xml:space="preserve"> Health and Safety assessment paper you will be eligible to apply for a full </w:t>
      </w:r>
      <w:proofErr w:type="spellStart"/>
      <w:r>
        <w:t>GQA</w:t>
      </w:r>
      <w:proofErr w:type="spellEnd"/>
      <w:r>
        <w:t xml:space="preserve"> CSCS Card.  The health and safety evidence must have been completed within the 2 years preceding application.  Once registered you will be eligible to apply for a temporary card provided you also meet the health and safety requirements. For more information please see: </w:t>
      </w:r>
      <w:hyperlink r:id="rId7" w:history="1">
        <w:r w:rsidRPr="008652D2">
          <w:rPr>
            <w:rStyle w:val="Hyperlink"/>
          </w:rPr>
          <w:t>https://gqaqualifications.com/construction-skills-certification-scheme/</w:t>
        </w:r>
      </w:hyperlink>
      <w:r>
        <w:t xml:space="preserve">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0029C4">
        <w:t>ConstructionSkills</w:t>
      </w:r>
      <w:proofErr w:type="spellEnd"/>
      <w:r w:rsidR="000029C4">
        <w:t>.</w:t>
      </w:r>
    </w:p>
    <w:p w14:paraId="50026A85" w14:textId="1B0652DF" w:rsidR="00530347" w:rsidRDefault="00530347" w:rsidP="00326F15">
      <w:pPr>
        <w:pStyle w:val="mainbody"/>
      </w:pPr>
    </w:p>
    <w:p w14:paraId="07BD6043" w14:textId="5AB1EC8B" w:rsidR="00530347" w:rsidRDefault="00C438DF" w:rsidP="009C46BB">
      <w:pPr>
        <w:pStyle w:val="Heading1"/>
      </w:pPr>
      <w:r w:rsidRPr="00D80D05">
        <w:lastRenderedPageBreak/>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4A7EFE98" w:rsidR="00530347" w:rsidRDefault="00C438DF" w:rsidP="00326F15">
            <w:pPr>
              <w:pStyle w:val="mainbody"/>
            </w:pPr>
            <w:r>
              <w:t>England</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6A02C00A" w:rsidR="00530347" w:rsidRDefault="00C611F6" w:rsidP="00326F15">
            <w:pPr>
              <w:pStyle w:val="mainbody"/>
            </w:pPr>
            <w:r w:rsidRPr="00C611F6">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5B708ACD" w:rsidR="00530347" w:rsidRDefault="00C611F6" w:rsidP="00961063">
            <w:pPr>
              <w:pStyle w:val="mainbody"/>
            </w:pPr>
            <w:r w:rsidRPr="00C611F6">
              <w:t>08-Dec-2017</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512B06BF" w:rsidR="00530347" w:rsidRDefault="00A1191F" w:rsidP="00326F15">
            <w:pPr>
              <w:pStyle w:val="mainbody"/>
            </w:pPr>
            <w:r>
              <w:t>3</w:t>
            </w:r>
            <w:r w:rsidR="00C611F6">
              <w:t>0-Apr</w:t>
            </w:r>
            <w:r w:rsidR="001B6B82">
              <w:t>-2021</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5E58EF87" w14:textId="7F7654F3" w:rsidR="0036706C" w:rsidRDefault="00C15BF1" w:rsidP="0036706C">
      <w:pPr>
        <w:pStyle w:val="mainbody"/>
      </w:pPr>
      <w:r>
        <w:t xml:space="preserve">Candidates must complete all 7 mandatory </w:t>
      </w:r>
      <w:proofErr w:type="gramStart"/>
      <w:r>
        <w:t>units,</w:t>
      </w:r>
      <w:proofErr w:type="gramEnd"/>
      <w:r>
        <w:t xml:space="preserve"> completion of the qualification and associated assessments will give access to the relevant CSCS card. It is also possible to access a temporary/trainee card once registered on the qualification-the Assessment Centre will provide more information or contact us at </w:t>
      </w:r>
      <w:hyperlink r:id="rId9" w:history="1">
        <w:r w:rsidRPr="00C81479">
          <w:rPr>
            <w:rStyle w:val="Hyperlink"/>
          </w:rPr>
          <w:t>info@gqaqualifications.com</w:t>
        </w:r>
      </w:hyperlink>
      <w:r>
        <w:t>.</w:t>
      </w:r>
    </w:p>
    <w:p w14:paraId="3D5CC782" w14:textId="77777777" w:rsidR="00C15BF1" w:rsidRDefault="00C15BF1" w:rsidP="0036706C">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5B4E29" w14:textId="7377E14A"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3CA54267" w:rsidR="00093096" w:rsidRPr="00551E56" w:rsidRDefault="00C15BF1" w:rsidP="00CB0FAA">
            <w:pPr>
              <w:pStyle w:val="mainbody"/>
              <w:spacing w:line="240" w:lineRule="auto"/>
              <w:rPr>
                <w:color w:val="000000" w:themeColor="text1"/>
              </w:rPr>
            </w:pPr>
            <w:r>
              <w:t>GQA Level 5 NVQ Diploma in Controlling Lifting Operations - Planning Lifts (Construction)</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4DE94EE7" w:rsidR="00093096" w:rsidRPr="00551E56" w:rsidRDefault="00C15BF1" w:rsidP="002369F6">
            <w:pPr>
              <w:pStyle w:val="mainbody"/>
              <w:spacing w:line="240" w:lineRule="auto"/>
              <w:rPr>
                <w:color w:val="000000" w:themeColor="text1"/>
              </w:rPr>
            </w:pPr>
            <w:r>
              <w:t>603/2746/7</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4BF53F38" w:rsidR="00093096" w:rsidRPr="00551E56" w:rsidRDefault="001B6B82" w:rsidP="002369F6">
            <w:pPr>
              <w:pStyle w:val="mainbody"/>
              <w:spacing w:line="240" w:lineRule="auto"/>
              <w:rPr>
                <w:color w:val="000000" w:themeColor="text1"/>
              </w:rPr>
            </w:pPr>
            <w:r>
              <w:rPr>
                <w:color w:val="000000" w:themeColor="text1"/>
              </w:rPr>
              <w:t>89</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1854A402" w:rsidR="00093096" w:rsidRPr="00551E56" w:rsidRDefault="001B6B82" w:rsidP="002369F6">
            <w:pPr>
              <w:pStyle w:val="mainbody"/>
              <w:spacing w:line="240" w:lineRule="auto"/>
              <w:rPr>
                <w:color w:val="000000" w:themeColor="text1"/>
              </w:rPr>
            </w:pPr>
            <w:r>
              <w:rPr>
                <w:color w:val="000000" w:themeColor="text1"/>
              </w:rPr>
              <w:t>890</w:t>
            </w:r>
          </w:p>
        </w:tc>
      </w:tr>
      <w:tr w:rsidR="00093096" w:rsidRPr="00551E56" w14:paraId="738630DA" w14:textId="77777777" w:rsidTr="002369F6">
        <w:trPr>
          <w:trHeight w:val="737"/>
        </w:trPr>
        <w:tc>
          <w:tcPr>
            <w:tcW w:w="9634" w:type="dxa"/>
            <w:gridSpan w:val="5"/>
            <w:shd w:val="clear" w:color="auto" w:fill="auto"/>
            <w:vAlign w:val="center"/>
          </w:tcPr>
          <w:p w14:paraId="03086137" w14:textId="086A83C1" w:rsidR="00093096" w:rsidRPr="007D3CAA" w:rsidRDefault="001B6B82" w:rsidP="006D3D80">
            <w:pPr>
              <w:pStyle w:val="mainbody"/>
              <w:spacing w:line="240" w:lineRule="auto"/>
              <w:jc w:val="left"/>
              <w:rPr>
                <w:color w:val="000000" w:themeColor="text1"/>
              </w:rPr>
            </w:pPr>
            <w:r w:rsidRPr="001B6B82">
              <w:rPr>
                <w:color w:val="000000" w:themeColor="text1"/>
              </w:rPr>
              <w:t>Candidates must complete all 7 mandatory units</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77777777" w:rsidR="00093096" w:rsidRPr="00901060" w:rsidRDefault="00093096" w:rsidP="002369F6">
            <w:pPr>
              <w:pStyle w:val="mainbody"/>
              <w:rPr>
                <w:b/>
                <w:bCs/>
              </w:rPr>
            </w:pPr>
            <w:r w:rsidRPr="00901060">
              <w:rPr>
                <w:b/>
                <w:bCs/>
              </w:rPr>
              <w:t>Mandatory Units</w:t>
            </w:r>
          </w:p>
        </w:tc>
      </w:tr>
      <w:tr w:rsidR="00F666D8" w:rsidRPr="003716B1" w14:paraId="1F817E47" w14:textId="77777777" w:rsidTr="005C3E8E">
        <w:trPr>
          <w:trHeight w:val="454"/>
        </w:trPr>
        <w:tc>
          <w:tcPr>
            <w:tcW w:w="1413" w:type="dxa"/>
            <w:shd w:val="clear" w:color="auto" w:fill="auto"/>
          </w:tcPr>
          <w:p w14:paraId="6EB627B0" w14:textId="424505CA" w:rsidR="00F666D8" w:rsidRPr="003716B1" w:rsidRDefault="00C15BF1" w:rsidP="00F666D8">
            <w:pPr>
              <w:pStyle w:val="mainbody"/>
              <w:spacing w:line="240" w:lineRule="auto"/>
              <w:jc w:val="left"/>
            </w:pPr>
            <w:r>
              <w:t>K/616/7692</w:t>
            </w:r>
          </w:p>
        </w:tc>
        <w:tc>
          <w:tcPr>
            <w:tcW w:w="6095" w:type="dxa"/>
            <w:gridSpan w:val="2"/>
            <w:shd w:val="clear" w:color="auto" w:fill="auto"/>
          </w:tcPr>
          <w:p w14:paraId="5D1D860B" w14:textId="6CEB956D" w:rsidR="00F666D8" w:rsidRPr="003716B1" w:rsidRDefault="00C15BF1" w:rsidP="00F666D8">
            <w:pPr>
              <w:pStyle w:val="mainbody"/>
              <w:spacing w:line="240" w:lineRule="auto"/>
              <w:jc w:val="left"/>
            </w:pPr>
            <w:r>
              <w:t>Planning Lifting Activities Using Cranes and/or Lifting Equipment in the Workplace</w:t>
            </w:r>
          </w:p>
        </w:tc>
        <w:tc>
          <w:tcPr>
            <w:tcW w:w="992" w:type="dxa"/>
            <w:shd w:val="clear" w:color="auto" w:fill="auto"/>
          </w:tcPr>
          <w:p w14:paraId="50AC3E9E" w14:textId="6048B4EC" w:rsidR="00F666D8" w:rsidRPr="003716B1" w:rsidRDefault="00C15BF1" w:rsidP="00F666D8">
            <w:pPr>
              <w:pStyle w:val="mainbody"/>
              <w:spacing w:line="240" w:lineRule="auto"/>
              <w:jc w:val="center"/>
            </w:pPr>
            <w:r>
              <w:t>5</w:t>
            </w:r>
          </w:p>
        </w:tc>
        <w:tc>
          <w:tcPr>
            <w:tcW w:w="1134" w:type="dxa"/>
            <w:shd w:val="clear" w:color="auto" w:fill="auto"/>
          </w:tcPr>
          <w:p w14:paraId="29222F68" w14:textId="581485D9" w:rsidR="00F666D8" w:rsidRPr="003716B1" w:rsidRDefault="00C15BF1" w:rsidP="00F666D8">
            <w:pPr>
              <w:pStyle w:val="mainbody"/>
              <w:spacing w:line="240" w:lineRule="auto"/>
              <w:jc w:val="center"/>
            </w:pPr>
            <w:r>
              <w:t>21</w:t>
            </w:r>
          </w:p>
        </w:tc>
      </w:tr>
      <w:tr w:rsidR="003902E2" w:rsidRPr="003716B1" w14:paraId="278450C3" w14:textId="77777777" w:rsidTr="003902E2">
        <w:trPr>
          <w:trHeight w:val="454"/>
        </w:trPr>
        <w:tc>
          <w:tcPr>
            <w:tcW w:w="1413" w:type="dxa"/>
            <w:shd w:val="clear" w:color="auto" w:fill="auto"/>
            <w:vAlign w:val="center"/>
          </w:tcPr>
          <w:p w14:paraId="45D626EF" w14:textId="053F2811" w:rsidR="003902E2" w:rsidRPr="003716B1" w:rsidRDefault="00C15BF1" w:rsidP="000446D4">
            <w:pPr>
              <w:pStyle w:val="mainbody"/>
              <w:spacing w:line="240" w:lineRule="auto"/>
              <w:jc w:val="left"/>
            </w:pPr>
            <w:r>
              <w:t>M/616/7693</w:t>
            </w:r>
          </w:p>
        </w:tc>
        <w:tc>
          <w:tcPr>
            <w:tcW w:w="6095" w:type="dxa"/>
            <w:gridSpan w:val="2"/>
            <w:shd w:val="clear" w:color="auto" w:fill="auto"/>
            <w:vAlign w:val="center"/>
          </w:tcPr>
          <w:p w14:paraId="43A0810E" w14:textId="2D4E2560" w:rsidR="003902E2" w:rsidRPr="003716B1" w:rsidRDefault="00C15BF1" w:rsidP="000446D4">
            <w:pPr>
              <w:pStyle w:val="mainbody"/>
              <w:spacing w:line="240" w:lineRule="auto"/>
              <w:jc w:val="left"/>
            </w:pPr>
            <w:r>
              <w:t>Planning and Establishing Health, Safety, Welfare and Environmental Systems for Lifting Operations in the Workplace</w:t>
            </w:r>
          </w:p>
        </w:tc>
        <w:tc>
          <w:tcPr>
            <w:tcW w:w="992" w:type="dxa"/>
            <w:shd w:val="clear" w:color="auto" w:fill="auto"/>
            <w:vAlign w:val="center"/>
          </w:tcPr>
          <w:p w14:paraId="7F83D4F1" w14:textId="7203824B" w:rsidR="003902E2" w:rsidRPr="003716B1" w:rsidRDefault="00C15BF1" w:rsidP="000446D4">
            <w:pPr>
              <w:pStyle w:val="mainbody"/>
              <w:spacing w:line="240" w:lineRule="auto"/>
              <w:jc w:val="center"/>
            </w:pPr>
            <w:r>
              <w:t>5</w:t>
            </w:r>
          </w:p>
        </w:tc>
        <w:tc>
          <w:tcPr>
            <w:tcW w:w="1134" w:type="dxa"/>
            <w:shd w:val="clear" w:color="auto" w:fill="auto"/>
            <w:vAlign w:val="center"/>
          </w:tcPr>
          <w:p w14:paraId="64157DB4" w14:textId="3563AA61" w:rsidR="003902E2" w:rsidRPr="003716B1" w:rsidRDefault="00C15BF1" w:rsidP="000446D4">
            <w:pPr>
              <w:pStyle w:val="mainbody"/>
              <w:spacing w:line="240" w:lineRule="auto"/>
              <w:jc w:val="center"/>
            </w:pPr>
            <w:r>
              <w:t>17</w:t>
            </w:r>
          </w:p>
        </w:tc>
      </w:tr>
      <w:tr w:rsidR="003902E2" w:rsidRPr="003716B1" w14:paraId="03898455" w14:textId="77777777" w:rsidTr="003902E2">
        <w:trPr>
          <w:trHeight w:val="454"/>
        </w:trPr>
        <w:tc>
          <w:tcPr>
            <w:tcW w:w="1413" w:type="dxa"/>
            <w:shd w:val="clear" w:color="auto" w:fill="auto"/>
            <w:vAlign w:val="center"/>
          </w:tcPr>
          <w:p w14:paraId="1A1B11AC" w14:textId="168787BE" w:rsidR="003902E2" w:rsidRPr="003716B1" w:rsidRDefault="00C15BF1" w:rsidP="000446D4">
            <w:pPr>
              <w:pStyle w:val="mainbody"/>
              <w:spacing w:line="240" w:lineRule="auto"/>
              <w:jc w:val="left"/>
            </w:pPr>
            <w:r>
              <w:t>K/507/9540</w:t>
            </w:r>
          </w:p>
        </w:tc>
        <w:tc>
          <w:tcPr>
            <w:tcW w:w="6095" w:type="dxa"/>
            <w:gridSpan w:val="2"/>
            <w:shd w:val="clear" w:color="auto" w:fill="auto"/>
            <w:vAlign w:val="center"/>
          </w:tcPr>
          <w:p w14:paraId="1B81BC3E" w14:textId="3021A969" w:rsidR="003902E2" w:rsidRPr="003716B1" w:rsidRDefault="00C15BF1" w:rsidP="007D73B0">
            <w:pPr>
              <w:pStyle w:val="mainbody"/>
              <w:spacing w:line="240" w:lineRule="auto"/>
              <w:jc w:val="left"/>
            </w:pPr>
            <w:r>
              <w:t>Planning Work Activities and Resources to Meet Work Requirements in the Workplace</w:t>
            </w:r>
          </w:p>
        </w:tc>
        <w:tc>
          <w:tcPr>
            <w:tcW w:w="992" w:type="dxa"/>
            <w:shd w:val="clear" w:color="auto" w:fill="auto"/>
            <w:vAlign w:val="center"/>
          </w:tcPr>
          <w:p w14:paraId="5B1F584F" w14:textId="3D8F4841" w:rsidR="003902E2" w:rsidRPr="003716B1" w:rsidRDefault="00C15BF1" w:rsidP="000446D4">
            <w:pPr>
              <w:pStyle w:val="mainbody"/>
              <w:spacing w:line="240" w:lineRule="auto"/>
              <w:jc w:val="center"/>
            </w:pPr>
            <w:r>
              <w:t>4</w:t>
            </w:r>
          </w:p>
        </w:tc>
        <w:tc>
          <w:tcPr>
            <w:tcW w:w="1134" w:type="dxa"/>
            <w:shd w:val="clear" w:color="auto" w:fill="auto"/>
            <w:vAlign w:val="center"/>
          </w:tcPr>
          <w:p w14:paraId="7790A7FD" w14:textId="453F49F7" w:rsidR="003902E2" w:rsidRPr="003716B1" w:rsidRDefault="00C15BF1" w:rsidP="000446D4">
            <w:pPr>
              <w:pStyle w:val="mainbody"/>
              <w:spacing w:line="240" w:lineRule="auto"/>
              <w:jc w:val="center"/>
            </w:pPr>
            <w:r>
              <w:t>12</w:t>
            </w:r>
          </w:p>
        </w:tc>
      </w:tr>
      <w:tr w:rsidR="003902E2" w:rsidRPr="003716B1" w14:paraId="77B94875" w14:textId="77777777" w:rsidTr="003902E2">
        <w:trPr>
          <w:trHeight w:val="397"/>
        </w:trPr>
        <w:tc>
          <w:tcPr>
            <w:tcW w:w="1413" w:type="dxa"/>
            <w:shd w:val="clear" w:color="000000" w:fill="FFFFFF"/>
            <w:vAlign w:val="center"/>
          </w:tcPr>
          <w:p w14:paraId="4DA66840" w14:textId="492F7FCE" w:rsidR="003902E2" w:rsidRPr="003716B1" w:rsidRDefault="00C15BF1" w:rsidP="000446D4">
            <w:pPr>
              <w:pStyle w:val="mainbody"/>
              <w:spacing w:line="240" w:lineRule="auto"/>
              <w:jc w:val="left"/>
            </w:pPr>
            <w:r>
              <w:t>J/508/0551</w:t>
            </w:r>
          </w:p>
        </w:tc>
        <w:tc>
          <w:tcPr>
            <w:tcW w:w="6095" w:type="dxa"/>
            <w:gridSpan w:val="2"/>
            <w:shd w:val="clear" w:color="000000" w:fill="FFFFFF"/>
            <w:vAlign w:val="center"/>
          </w:tcPr>
          <w:p w14:paraId="03FA4202" w14:textId="6E35664E" w:rsidR="003902E2" w:rsidRPr="003716B1" w:rsidRDefault="00C15BF1" w:rsidP="000446D4">
            <w:pPr>
              <w:pStyle w:val="mainbody"/>
              <w:spacing w:line="240" w:lineRule="auto"/>
              <w:jc w:val="left"/>
            </w:pPr>
            <w:r>
              <w:t>Evaluating and Selecting Work Methods to Meet Project or Operational Requirements in the Workplace</w:t>
            </w:r>
          </w:p>
        </w:tc>
        <w:tc>
          <w:tcPr>
            <w:tcW w:w="992" w:type="dxa"/>
            <w:shd w:val="clear" w:color="000000" w:fill="FFFFFF"/>
            <w:vAlign w:val="center"/>
          </w:tcPr>
          <w:p w14:paraId="32C309A3" w14:textId="63E41EAE" w:rsidR="003902E2" w:rsidRPr="003716B1" w:rsidRDefault="00C15BF1" w:rsidP="000446D4">
            <w:pPr>
              <w:pStyle w:val="mainbody"/>
              <w:spacing w:line="240" w:lineRule="auto"/>
              <w:jc w:val="center"/>
            </w:pPr>
            <w:r>
              <w:t>6</w:t>
            </w:r>
          </w:p>
        </w:tc>
        <w:tc>
          <w:tcPr>
            <w:tcW w:w="1134" w:type="dxa"/>
            <w:shd w:val="clear" w:color="000000" w:fill="FFFFFF"/>
            <w:vAlign w:val="center"/>
          </w:tcPr>
          <w:p w14:paraId="1118992F" w14:textId="7B62D737" w:rsidR="003902E2" w:rsidRPr="003716B1" w:rsidRDefault="00C15BF1" w:rsidP="000446D4">
            <w:pPr>
              <w:pStyle w:val="mainbody"/>
              <w:spacing w:line="240" w:lineRule="auto"/>
              <w:jc w:val="center"/>
            </w:pPr>
            <w:r>
              <w:t>11</w:t>
            </w:r>
          </w:p>
        </w:tc>
      </w:tr>
      <w:tr w:rsidR="002F0F84" w:rsidRPr="00551E56" w14:paraId="59A82518" w14:textId="77777777" w:rsidTr="00551C9A">
        <w:trPr>
          <w:trHeight w:val="397"/>
        </w:trPr>
        <w:tc>
          <w:tcPr>
            <w:tcW w:w="1413" w:type="dxa"/>
            <w:shd w:val="clear" w:color="auto" w:fill="auto"/>
          </w:tcPr>
          <w:p w14:paraId="3EE081D2" w14:textId="7942C2F7" w:rsidR="002F0F84" w:rsidRPr="000F2875" w:rsidRDefault="00C15BF1" w:rsidP="00C15BF1">
            <w:pPr>
              <w:pStyle w:val="mainbody"/>
              <w:spacing w:line="240" w:lineRule="auto"/>
              <w:rPr>
                <w:color w:val="000000" w:themeColor="text1"/>
              </w:rPr>
            </w:pPr>
            <w:r>
              <w:t>Y/508/0585</w:t>
            </w:r>
          </w:p>
        </w:tc>
        <w:tc>
          <w:tcPr>
            <w:tcW w:w="6095" w:type="dxa"/>
            <w:gridSpan w:val="2"/>
            <w:shd w:val="clear" w:color="auto" w:fill="auto"/>
          </w:tcPr>
          <w:p w14:paraId="45E13DAA" w14:textId="5CEE3DE7" w:rsidR="002F0F84" w:rsidRPr="000F2875" w:rsidRDefault="00C15BF1" w:rsidP="002F0F84">
            <w:pPr>
              <w:pStyle w:val="mainbody"/>
              <w:spacing w:line="240" w:lineRule="auto"/>
              <w:jc w:val="left"/>
              <w:rPr>
                <w:color w:val="000000" w:themeColor="text1"/>
              </w:rPr>
            </w:pPr>
            <w:r>
              <w:t>Planning the Preparation of the Site for the Project or Operation in the Workplace</w:t>
            </w:r>
          </w:p>
        </w:tc>
        <w:tc>
          <w:tcPr>
            <w:tcW w:w="992" w:type="dxa"/>
            <w:shd w:val="clear" w:color="auto" w:fill="auto"/>
            <w:vAlign w:val="center"/>
          </w:tcPr>
          <w:p w14:paraId="6D077D92" w14:textId="06A53137" w:rsidR="002F0F84" w:rsidRDefault="00C15BF1" w:rsidP="002F0F84">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046CB6A9" w14:textId="4BBC0504" w:rsidR="002F0F84" w:rsidRDefault="00C15BF1" w:rsidP="002F0F84">
            <w:pPr>
              <w:pStyle w:val="mainbody"/>
              <w:spacing w:line="240" w:lineRule="auto"/>
              <w:jc w:val="center"/>
              <w:rPr>
                <w:color w:val="000000" w:themeColor="text1"/>
              </w:rPr>
            </w:pPr>
            <w:r>
              <w:rPr>
                <w:color w:val="000000" w:themeColor="text1"/>
              </w:rPr>
              <w:t>11</w:t>
            </w:r>
          </w:p>
        </w:tc>
      </w:tr>
      <w:tr w:rsidR="003C4A81" w:rsidRPr="00551E56" w14:paraId="0D9DCB26" w14:textId="77777777" w:rsidTr="00551C9A">
        <w:trPr>
          <w:trHeight w:val="397"/>
        </w:trPr>
        <w:tc>
          <w:tcPr>
            <w:tcW w:w="1413" w:type="dxa"/>
            <w:shd w:val="clear" w:color="auto" w:fill="auto"/>
          </w:tcPr>
          <w:p w14:paraId="1A271EF4" w14:textId="6CE015D3" w:rsidR="003C4A81" w:rsidRPr="00DD11A1" w:rsidRDefault="00C15BF1" w:rsidP="003C4A81">
            <w:pPr>
              <w:pStyle w:val="mainbody"/>
              <w:spacing w:line="240" w:lineRule="auto"/>
              <w:jc w:val="left"/>
              <w:rPr>
                <w:rFonts w:ascii="Calibri" w:eastAsiaTheme="minorHAnsi" w:hAnsi="Calibri"/>
              </w:rPr>
            </w:pPr>
            <w:r>
              <w:t>L/508/0583</w:t>
            </w:r>
          </w:p>
        </w:tc>
        <w:tc>
          <w:tcPr>
            <w:tcW w:w="6095" w:type="dxa"/>
            <w:gridSpan w:val="2"/>
            <w:shd w:val="clear" w:color="auto" w:fill="auto"/>
          </w:tcPr>
          <w:p w14:paraId="69DB28FD" w14:textId="1BA523C9" w:rsidR="003C4A81" w:rsidRDefault="00C15BF1" w:rsidP="003C4A81">
            <w:pPr>
              <w:pStyle w:val="mainbody"/>
              <w:spacing w:line="240" w:lineRule="auto"/>
              <w:jc w:val="left"/>
              <w:rPr>
                <w:rFonts w:ascii="Calibri" w:eastAsiaTheme="minorHAnsi" w:hAnsi="Calibri"/>
              </w:rPr>
            </w:pPr>
            <w:r>
              <w:t>Identifying, Allocating and Planning the Deployment and Use of Plant, Equipment or Machinery in the Workplace</w:t>
            </w:r>
          </w:p>
        </w:tc>
        <w:tc>
          <w:tcPr>
            <w:tcW w:w="992" w:type="dxa"/>
            <w:shd w:val="clear" w:color="auto" w:fill="auto"/>
            <w:vAlign w:val="center"/>
          </w:tcPr>
          <w:p w14:paraId="17C07483" w14:textId="0A45BC5F" w:rsidR="003C4A81" w:rsidRDefault="00C15BF1" w:rsidP="003C4A81">
            <w:pPr>
              <w:pStyle w:val="mainbody"/>
              <w:spacing w:line="240" w:lineRule="auto"/>
              <w:jc w:val="center"/>
              <w:rPr>
                <w:color w:val="000000" w:themeColor="text1"/>
              </w:rPr>
            </w:pPr>
            <w:r>
              <w:rPr>
                <w:color w:val="000000" w:themeColor="text1"/>
              </w:rPr>
              <w:t>5</w:t>
            </w:r>
          </w:p>
        </w:tc>
        <w:tc>
          <w:tcPr>
            <w:tcW w:w="1134" w:type="dxa"/>
            <w:shd w:val="clear" w:color="auto" w:fill="auto"/>
            <w:vAlign w:val="center"/>
          </w:tcPr>
          <w:p w14:paraId="4D429011" w14:textId="3058328C" w:rsidR="003C4A81" w:rsidRDefault="00C15BF1" w:rsidP="003C4A81">
            <w:pPr>
              <w:pStyle w:val="mainbody"/>
              <w:spacing w:line="240" w:lineRule="auto"/>
              <w:jc w:val="center"/>
              <w:rPr>
                <w:color w:val="000000" w:themeColor="text1"/>
              </w:rPr>
            </w:pPr>
            <w:r>
              <w:rPr>
                <w:color w:val="000000" w:themeColor="text1"/>
              </w:rPr>
              <w:t>9</w:t>
            </w:r>
          </w:p>
        </w:tc>
      </w:tr>
      <w:tr w:rsidR="00CA49F9" w:rsidRPr="00551E56" w14:paraId="38C7211C" w14:textId="77777777" w:rsidTr="00551C9A">
        <w:trPr>
          <w:trHeight w:val="397"/>
        </w:trPr>
        <w:tc>
          <w:tcPr>
            <w:tcW w:w="1413" w:type="dxa"/>
            <w:shd w:val="clear" w:color="auto" w:fill="auto"/>
          </w:tcPr>
          <w:p w14:paraId="010D0AF7" w14:textId="1D790FDA" w:rsidR="00CA49F9" w:rsidRPr="00587EEF" w:rsidRDefault="00C15BF1" w:rsidP="00CA49F9">
            <w:pPr>
              <w:pStyle w:val="mainbody"/>
              <w:spacing w:line="240" w:lineRule="auto"/>
              <w:jc w:val="left"/>
              <w:rPr>
                <w:rFonts w:ascii="Calibri" w:eastAsiaTheme="minorHAnsi" w:hAnsi="Calibri"/>
              </w:rPr>
            </w:pPr>
            <w:r>
              <w:t>M/503/2915</w:t>
            </w:r>
          </w:p>
        </w:tc>
        <w:tc>
          <w:tcPr>
            <w:tcW w:w="6095" w:type="dxa"/>
            <w:gridSpan w:val="2"/>
            <w:shd w:val="clear" w:color="auto" w:fill="auto"/>
          </w:tcPr>
          <w:p w14:paraId="6C6A48B8" w14:textId="1FBEE49B" w:rsidR="00CA49F9" w:rsidRPr="00587EEF" w:rsidRDefault="00C15BF1" w:rsidP="00CA49F9">
            <w:pPr>
              <w:pStyle w:val="mainbody"/>
              <w:spacing w:line="240" w:lineRule="auto"/>
              <w:jc w:val="left"/>
              <w:rPr>
                <w:rFonts w:ascii="Calibri" w:eastAsiaTheme="minorHAnsi" w:hAnsi="Calibri"/>
              </w:rPr>
            </w:pPr>
            <w:r>
              <w:t>Developing and Maintaining Good Occupational Working Relationships in the Workplace</w:t>
            </w:r>
          </w:p>
        </w:tc>
        <w:tc>
          <w:tcPr>
            <w:tcW w:w="992" w:type="dxa"/>
            <w:shd w:val="clear" w:color="auto" w:fill="auto"/>
            <w:vAlign w:val="center"/>
          </w:tcPr>
          <w:p w14:paraId="4474B461" w14:textId="147860CB" w:rsidR="00CA49F9" w:rsidRDefault="00C15BF1" w:rsidP="00CA49F9">
            <w:pPr>
              <w:pStyle w:val="mainbody"/>
              <w:spacing w:line="240" w:lineRule="auto"/>
              <w:jc w:val="center"/>
              <w:rPr>
                <w:color w:val="000000" w:themeColor="text1"/>
              </w:rPr>
            </w:pPr>
            <w:r>
              <w:rPr>
                <w:color w:val="000000" w:themeColor="text1"/>
              </w:rPr>
              <w:t>5</w:t>
            </w:r>
          </w:p>
        </w:tc>
        <w:tc>
          <w:tcPr>
            <w:tcW w:w="1134" w:type="dxa"/>
            <w:shd w:val="clear" w:color="auto" w:fill="auto"/>
            <w:vAlign w:val="center"/>
          </w:tcPr>
          <w:p w14:paraId="4C38C414" w14:textId="6926116D" w:rsidR="00CA49F9" w:rsidRDefault="00C15BF1" w:rsidP="00CA49F9">
            <w:pPr>
              <w:pStyle w:val="mainbody"/>
              <w:spacing w:line="240" w:lineRule="auto"/>
              <w:jc w:val="center"/>
              <w:rPr>
                <w:color w:val="000000" w:themeColor="text1"/>
              </w:rPr>
            </w:pPr>
            <w:r>
              <w:rPr>
                <w:color w:val="000000" w:themeColor="text1"/>
              </w:rPr>
              <w:t>8</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DBFA" w14:textId="77777777" w:rsidR="00B07C13" w:rsidRDefault="00B07C13">
      <w:pPr>
        <w:spacing w:after="0" w:line="240" w:lineRule="auto"/>
      </w:pPr>
      <w:r>
        <w:separator/>
      </w:r>
    </w:p>
  </w:endnote>
  <w:endnote w:type="continuationSeparator" w:id="0">
    <w:p w14:paraId="43161CA1" w14:textId="77777777" w:rsidR="00B07C13" w:rsidRDefault="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D8BD4" w14:textId="77777777" w:rsidR="00B07C13" w:rsidRDefault="00B07C13">
      <w:pPr>
        <w:spacing w:after="0" w:line="240" w:lineRule="auto"/>
      </w:pPr>
      <w:r>
        <w:separator/>
      </w:r>
    </w:p>
  </w:footnote>
  <w:footnote w:type="continuationSeparator" w:id="0">
    <w:p w14:paraId="6C503481" w14:textId="77777777" w:rsidR="00B07C13" w:rsidRDefault="00B0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31D8F"/>
    <w:rsid w:val="00133A94"/>
    <w:rsid w:val="00143D98"/>
    <w:rsid w:val="0014481F"/>
    <w:rsid w:val="0014556C"/>
    <w:rsid w:val="00151DA3"/>
    <w:rsid w:val="00164799"/>
    <w:rsid w:val="00172A83"/>
    <w:rsid w:val="001861CB"/>
    <w:rsid w:val="00187B54"/>
    <w:rsid w:val="00190C2A"/>
    <w:rsid w:val="001923C1"/>
    <w:rsid w:val="001965AC"/>
    <w:rsid w:val="0019730A"/>
    <w:rsid w:val="001B6B82"/>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65300"/>
    <w:rsid w:val="0027141B"/>
    <w:rsid w:val="0027473E"/>
    <w:rsid w:val="002908EE"/>
    <w:rsid w:val="002A2C32"/>
    <w:rsid w:val="002B587E"/>
    <w:rsid w:val="002D6811"/>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3BB"/>
    <w:rsid w:val="00332A18"/>
    <w:rsid w:val="00336305"/>
    <w:rsid w:val="003369FD"/>
    <w:rsid w:val="0033776B"/>
    <w:rsid w:val="00340825"/>
    <w:rsid w:val="0034181E"/>
    <w:rsid w:val="003435B4"/>
    <w:rsid w:val="0034372A"/>
    <w:rsid w:val="003521E3"/>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45404"/>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6924"/>
    <w:rsid w:val="00827E42"/>
    <w:rsid w:val="008377CB"/>
    <w:rsid w:val="00864665"/>
    <w:rsid w:val="00865010"/>
    <w:rsid w:val="00877C2B"/>
    <w:rsid w:val="00880070"/>
    <w:rsid w:val="0088470B"/>
    <w:rsid w:val="00884967"/>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D2F"/>
    <w:rsid w:val="00BA351F"/>
    <w:rsid w:val="00BB2B93"/>
    <w:rsid w:val="00BC1C78"/>
    <w:rsid w:val="00BD346E"/>
    <w:rsid w:val="00BD6F0E"/>
    <w:rsid w:val="00BE2993"/>
    <w:rsid w:val="00BF4D0E"/>
    <w:rsid w:val="00BF7710"/>
    <w:rsid w:val="00C024A6"/>
    <w:rsid w:val="00C05171"/>
    <w:rsid w:val="00C06204"/>
    <w:rsid w:val="00C15BF1"/>
    <w:rsid w:val="00C22B34"/>
    <w:rsid w:val="00C23FAB"/>
    <w:rsid w:val="00C27775"/>
    <w:rsid w:val="00C438DF"/>
    <w:rsid w:val="00C475D0"/>
    <w:rsid w:val="00C52396"/>
    <w:rsid w:val="00C5742B"/>
    <w:rsid w:val="00C611F6"/>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16CB3"/>
    <w:rsid w:val="00E20339"/>
    <w:rsid w:val="00E35775"/>
    <w:rsid w:val="00E360ED"/>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C62A5"/>
    <w:rsid w:val="00EE2964"/>
    <w:rsid w:val="00EE3744"/>
    <w:rsid w:val="00EE7374"/>
    <w:rsid w:val="00EF242E"/>
    <w:rsid w:val="00F0076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C55F3"/>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qaqualifications.com/construction-skills-certification-schem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gqaqualifications.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6</cp:revision>
  <dcterms:created xsi:type="dcterms:W3CDTF">2020-05-21T11:03:00Z</dcterms:created>
  <dcterms:modified xsi:type="dcterms:W3CDTF">2020-05-26T07:17:00Z</dcterms:modified>
</cp:coreProperties>
</file>