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74FF" w14:textId="77777777" w:rsidR="00BA4BBE" w:rsidRDefault="00C438DF" w:rsidP="00107A0A">
      <w:pPr>
        <w:pStyle w:val="Heading"/>
      </w:pPr>
      <w:r>
        <w:t xml:space="preserve">Qualification </w:t>
      </w:r>
      <w:r w:rsidR="0027141B">
        <w:t>T</w:t>
      </w:r>
      <w:r>
        <w:t xml:space="preserve">itle: </w:t>
      </w:r>
    </w:p>
    <w:p w14:paraId="139E31D2" w14:textId="61C53993" w:rsidR="00E95AFF" w:rsidRDefault="00E11C03" w:rsidP="00E95AFF">
      <w:pPr>
        <w:pStyle w:val="Heading"/>
        <w:rPr>
          <w:bCs/>
        </w:rPr>
      </w:pPr>
      <w:r w:rsidRPr="00E11C03">
        <w:rPr>
          <w:bCs/>
        </w:rPr>
        <w:t xml:space="preserve">GQA-PAA\VQ-SET Level </w:t>
      </w:r>
      <w:r w:rsidR="006A72BA">
        <w:rPr>
          <w:bCs/>
        </w:rPr>
        <w:t>3</w:t>
      </w:r>
      <w:r w:rsidRPr="00E11C03">
        <w:rPr>
          <w:bCs/>
        </w:rPr>
        <w:t xml:space="preserve"> </w:t>
      </w:r>
      <w:r w:rsidR="00117BAF">
        <w:rPr>
          <w:bCs/>
        </w:rPr>
        <w:t>Certificate</w:t>
      </w:r>
      <w:r w:rsidRPr="00E11C03">
        <w:rPr>
          <w:bCs/>
        </w:rPr>
        <w:t xml:space="preserve"> in </w:t>
      </w:r>
      <w:r w:rsidR="00E95AFF" w:rsidRPr="00E95AFF">
        <w:rPr>
          <w:bCs/>
        </w:rPr>
        <w:t xml:space="preserve"> Polymer </w:t>
      </w:r>
      <w:r w:rsidR="00BC00F2">
        <w:rPr>
          <w:bCs/>
        </w:rPr>
        <w:t>Operations</w:t>
      </w:r>
      <w:r w:rsidR="00E95AFF" w:rsidRPr="00E95AFF">
        <w:rPr>
          <w:bCs/>
        </w:rPr>
        <w:t xml:space="preserve"> </w:t>
      </w:r>
    </w:p>
    <w:p w14:paraId="07E0D07C" w14:textId="7552C7C6" w:rsidR="006B65DB" w:rsidRDefault="0027141B" w:rsidP="00003BA0">
      <w:pPr>
        <w:pStyle w:val="Heading"/>
      </w:pPr>
      <w:r w:rsidRPr="0027141B">
        <w:t>Qualification Number</w:t>
      </w:r>
      <w:r w:rsidR="00C438DF">
        <w:t xml:space="preserve">: </w:t>
      </w:r>
      <w:r w:rsidR="00003BA0">
        <w:rPr>
          <w:rFonts w:ascii="Helvetica" w:hAnsi="Helvetica" w:cs="Helvetica"/>
          <w:spacing w:val="2"/>
          <w:shd w:val="clear" w:color="auto" w:fill="FFFFFF"/>
        </w:rPr>
        <w:t>603/2792/3</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54DE7AF8" w14:textId="77777777" w:rsidR="00BC00F2" w:rsidRDefault="00BC00F2" w:rsidP="00BC00F2">
      <w:pPr>
        <w:pStyle w:val="mainbody"/>
      </w:pPr>
      <w:r>
        <w:t>This qualification will provide recognition of the skills and knowledge of individuals working in the Polymer</w:t>
      </w:r>
    </w:p>
    <w:p w14:paraId="76204EA9" w14:textId="77777777" w:rsidR="00BC00F2" w:rsidRDefault="00BC00F2" w:rsidP="00BC00F2">
      <w:pPr>
        <w:pStyle w:val="mainbody"/>
      </w:pPr>
      <w:r>
        <w:t xml:space="preserve">and Polymer Composite sectors. The qualification covers health, </w:t>
      </w:r>
      <w:proofErr w:type="gramStart"/>
      <w:r>
        <w:t>safety</w:t>
      </w:r>
      <w:proofErr w:type="gramEnd"/>
      <w:r>
        <w:t xml:space="preserve"> and environmental requirements,</w:t>
      </w:r>
    </w:p>
    <w:p w14:paraId="5076B00A" w14:textId="77777777" w:rsidR="00BC00F2" w:rsidRDefault="00BC00F2" w:rsidP="00BC00F2">
      <w:pPr>
        <w:pStyle w:val="mainbody"/>
      </w:pPr>
      <w:r>
        <w:t xml:space="preserve">diagnosing and dealing with process problems, configuring process </w:t>
      </w:r>
      <w:proofErr w:type="gramStart"/>
      <w:r>
        <w:t>systems</w:t>
      </w:r>
      <w:proofErr w:type="gramEnd"/>
      <w:r>
        <w:t xml:space="preserve"> and optimising process</w:t>
      </w:r>
    </w:p>
    <w:p w14:paraId="744C5934" w14:textId="77777777" w:rsidR="00BC00F2" w:rsidRDefault="00BC00F2" w:rsidP="00BC00F2">
      <w:pPr>
        <w:pStyle w:val="mainbody"/>
      </w:pPr>
      <w:r>
        <w:t>operations. Learners may then choose from Optional Units covering carrying out routine servicing, complex</w:t>
      </w:r>
    </w:p>
    <w:p w14:paraId="1B11B861" w14:textId="77777777" w:rsidR="00BC00F2" w:rsidRDefault="00BC00F2" w:rsidP="00BC00F2">
      <w:pPr>
        <w:pStyle w:val="mainbody"/>
      </w:pPr>
      <w:r>
        <w:t xml:space="preserve">sampling operations, providing technical </w:t>
      </w:r>
      <w:proofErr w:type="gramStart"/>
      <w:r>
        <w:t>support</w:t>
      </w:r>
      <w:proofErr w:type="gramEnd"/>
      <w:r>
        <w:t xml:space="preserve"> and planning polymer process activities.</w:t>
      </w:r>
    </w:p>
    <w:p w14:paraId="650346E7" w14:textId="77BCA4F8" w:rsidR="00E95AFF" w:rsidRDefault="006A72BA" w:rsidP="00BC00F2">
      <w:pPr>
        <w:pStyle w:val="mainbody"/>
        <w:rPr>
          <w:sz w:val="20"/>
        </w:rPr>
      </w:pPr>
      <w:r>
        <w:rPr>
          <w:sz w:val="20"/>
        </w:rPr>
        <w:t>This qualification is at Level 3 and is intended for individuals who can demonstrate skills and knowledge to deal with complex matters</w:t>
      </w:r>
      <w:r w:rsidR="00E95AFF">
        <w:rPr>
          <w:sz w:val="20"/>
        </w:rPr>
        <w:t>.</w:t>
      </w:r>
    </w:p>
    <w:p w14:paraId="12AD88BE" w14:textId="79D3B545" w:rsidR="00B36AB3" w:rsidRDefault="00B36AB3" w:rsidP="006B65DB">
      <w:pPr>
        <w:pStyle w:val="mainbody"/>
        <w:rPr>
          <w:sz w:val="20"/>
        </w:rPr>
      </w:pPr>
      <w:r>
        <w:rPr>
          <w:sz w:val="20"/>
        </w:rPr>
        <w:t>The groups of optional units make the qualification suitable for as wide a range of job roles and Organisations as possible.</w:t>
      </w:r>
    </w:p>
    <w:p w14:paraId="536A28E7" w14:textId="126D153F" w:rsidR="006B65DB" w:rsidRDefault="00766B32" w:rsidP="006B65DB">
      <w:pPr>
        <w:pStyle w:val="mainbody"/>
      </w:pPr>
      <w:r>
        <w:rPr>
          <w:sz w:val="20"/>
        </w:rPr>
        <w:t xml:space="preserve">There is also a Level 2 qualification </w:t>
      </w:r>
      <w:r w:rsidR="00B36AB3">
        <w:rPr>
          <w:sz w:val="20"/>
        </w:rPr>
        <w:t xml:space="preserve">for </w:t>
      </w:r>
      <w:r w:rsidR="00E95AFF">
        <w:rPr>
          <w:sz w:val="20"/>
        </w:rPr>
        <w:t xml:space="preserve">Polymer </w:t>
      </w:r>
      <w:r w:rsidR="00BC00F2">
        <w:rPr>
          <w:sz w:val="20"/>
        </w:rPr>
        <w:t>Operations</w:t>
      </w:r>
      <w:r>
        <w:rPr>
          <w:sz w:val="20"/>
        </w:rPr>
        <w:t xml:space="preserve"> from GQA Qualifications, please email </w:t>
      </w:r>
      <w:hyperlink r:id="rId7" w:history="1">
        <w:r w:rsidRPr="009803F0">
          <w:rPr>
            <w:rStyle w:val="Hyperlink"/>
            <w:sz w:val="20"/>
          </w:rPr>
          <w:t>info@gqaqualifications.com</w:t>
        </w:r>
      </w:hyperlink>
      <w:r>
        <w:rPr>
          <w:sz w:val="20"/>
        </w:rPr>
        <w:t xml:space="preserve"> for more information.</w:t>
      </w:r>
    </w:p>
    <w:p w14:paraId="154E145F" w14:textId="77777777" w:rsidR="00C47FF4" w:rsidRPr="00AC5090" w:rsidRDefault="00C47FF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02039CE3" w:rsidR="009C46BB" w:rsidRDefault="009C46BB" w:rsidP="00326F15">
      <w:pPr>
        <w:pStyle w:val="mainbody"/>
      </w:pPr>
      <w:r>
        <w:t xml:space="preserve">This qualification has been designed and developed by GQA Qualifications with the support </w:t>
      </w:r>
      <w:r w:rsidR="00CD31A6">
        <w:t xml:space="preserve">of </w:t>
      </w:r>
      <w:r w:rsidR="00E11C03">
        <w:t xml:space="preserve">Industry. </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311E62C" w:rsidR="00530347" w:rsidRDefault="00C438DF" w:rsidP="00326F15">
            <w:pPr>
              <w:pStyle w:val="mainbody"/>
            </w:pPr>
            <w:r>
              <w:t>England</w:t>
            </w:r>
            <w:r w:rsidR="005E1BAB">
              <w:t>, Northern Ireland</w:t>
            </w:r>
            <w:r w:rsidR="00E11C03">
              <w:t>, Wales</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0B0B4E52" w:rsidR="00530347" w:rsidRDefault="00412C84" w:rsidP="00326F15">
            <w:pPr>
              <w:pStyle w:val="mainbody"/>
            </w:pPr>
            <w:r w:rsidRPr="00412C84">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5022E00A" w:rsidR="00530347" w:rsidRDefault="00E11C03" w:rsidP="00326F15">
            <w:pPr>
              <w:pStyle w:val="mainbody"/>
            </w:pPr>
            <w:r>
              <w:t>P</w:t>
            </w:r>
            <w:r w:rsidR="00E95AFF">
              <w:t xml:space="preserve">olymer </w:t>
            </w:r>
            <w:r>
              <w:t xml:space="preserve"> Operations </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rsidRPr="00BA0C3B">
              <w:t>Qualification review date:</w:t>
            </w:r>
            <w:r>
              <w:t xml:space="preserve">   </w:t>
            </w:r>
          </w:p>
        </w:tc>
        <w:tc>
          <w:tcPr>
            <w:tcW w:w="4841" w:type="dxa"/>
            <w:vAlign w:val="center"/>
          </w:tcPr>
          <w:p w14:paraId="76827D23" w14:textId="7E2502CF" w:rsidR="00530347" w:rsidRDefault="00BA0C3B" w:rsidP="00326F15">
            <w:pPr>
              <w:pStyle w:val="mainbody"/>
            </w:pPr>
            <w:r>
              <w:t>30/06/2023</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44FA2CB3"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FE9B1A" w14:textId="0A46460E"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2DF5525A"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E11C03">
        <w:rPr>
          <w:rFonts w:eastAsia="Calibri"/>
        </w:rPr>
        <w:t xml:space="preserve">12 O’clock Court, </w:t>
      </w:r>
      <w:proofErr w:type="spellStart"/>
      <w:r w:rsidR="00E11C03">
        <w:rPr>
          <w:rFonts w:eastAsia="Calibri"/>
        </w:rPr>
        <w:t>Attercliiffe</w:t>
      </w:r>
      <w:proofErr w:type="spellEnd"/>
      <w:r w:rsidR="00E11C03">
        <w:rPr>
          <w:rFonts w:eastAsia="Calibri"/>
        </w:rPr>
        <w:t xml:space="preserve"> Road, </w:t>
      </w:r>
      <w:r>
        <w:rPr>
          <w:rFonts w:eastAsia="Calibri"/>
        </w:rPr>
        <w:t xml:space="preserve">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6EEEF18B" w:rsidR="00530347" w:rsidRDefault="00C438DF" w:rsidP="009C46BB">
      <w:pPr>
        <w:pStyle w:val="Heading1"/>
      </w:pPr>
      <w:r w:rsidRPr="00D80D05">
        <w:t xml:space="preserve">Qualification achievement </w:t>
      </w:r>
    </w:p>
    <w:p w14:paraId="5FB544B3" w14:textId="66408991" w:rsidR="00E11C03" w:rsidRPr="008F58A8" w:rsidRDefault="00E11C03" w:rsidP="00E11C03">
      <w:pPr>
        <w:rPr>
          <w:rFonts w:asciiTheme="minorHAnsi" w:hAnsiTheme="minorHAnsi" w:cstheme="minorHAnsi"/>
          <w:sz w:val="22"/>
        </w:rPr>
      </w:pPr>
      <w:r w:rsidRPr="008F58A8">
        <w:rPr>
          <w:rFonts w:asciiTheme="minorHAnsi" w:hAnsiTheme="minorHAnsi" w:cstheme="minorHAnsi"/>
          <w:sz w:val="22"/>
        </w:rPr>
        <w:t xml:space="preserve">A total of </w:t>
      </w:r>
      <w:r w:rsidR="00003BA0">
        <w:rPr>
          <w:rFonts w:asciiTheme="minorHAnsi" w:hAnsiTheme="minorHAnsi" w:cstheme="minorHAnsi"/>
          <w:sz w:val="22"/>
        </w:rPr>
        <w:t>6</w:t>
      </w:r>
      <w:r w:rsidRPr="008F58A8">
        <w:rPr>
          <w:rFonts w:asciiTheme="minorHAnsi" w:hAnsiTheme="minorHAnsi" w:cstheme="minorHAnsi"/>
          <w:sz w:val="22"/>
        </w:rPr>
        <w:t xml:space="preserve"> units must be achieved</w:t>
      </w:r>
      <w:r w:rsidR="008F58A8" w:rsidRPr="008F58A8">
        <w:rPr>
          <w:rFonts w:asciiTheme="minorHAnsi" w:hAnsiTheme="minorHAnsi" w:cstheme="minorHAnsi"/>
          <w:sz w:val="22"/>
        </w:rPr>
        <w:t xml:space="preserve">, see below for a breakdown </w:t>
      </w:r>
      <w:r w:rsidRPr="008F58A8">
        <w:rPr>
          <w:rFonts w:asciiTheme="minorHAnsi" w:hAnsiTheme="minorHAnsi" w:cstheme="minorHAnsi"/>
          <w:sz w:val="22"/>
        </w:rPr>
        <w:t xml:space="preserve"> </w:t>
      </w:r>
    </w:p>
    <w:p w14:paraId="0C7046F9" w14:textId="454B722B" w:rsidR="00E11C03" w:rsidRDefault="00E11C03" w:rsidP="00E11C03">
      <w:pPr>
        <w:pStyle w:val="Default"/>
        <w:rPr>
          <w:rFonts w:asciiTheme="minorHAnsi" w:hAnsiTheme="minorHAnsi" w:cstheme="minorHAnsi"/>
          <w:sz w:val="22"/>
          <w:szCs w:val="22"/>
        </w:rPr>
      </w:pPr>
      <w:r w:rsidRPr="008F58A8">
        <w:rPr>
          <w:rFonts w:asciiTheme="minorHAnsi" w:hAnsiTheme="minorHAnsi" w:cstheme="minorHAnsi"/>
          <w:b/>
          <w:bCs/>
          <w:i/>
          <w:iCs/>
          <w:sz w:val="22"/>
          <w:szCs w:val="22"/>
        </w:rPr>
        <w:t xml:space="preserve">Mandatory Units: </w:t>
      </w:r>
      <w:r w:rsidRPr="008F58A8">
        <w:rPr>
          <w:rFonts w:asciiTheme="minorHAnsi" w:hAnsiTheme="minorHAnsi" w:cstheme="minorHAnsi"/>
          <w:sz w:val="22"/>
          <w:szCs w:val="22"/>
        </w:rPr>
        <w:t xml:space="preserve">All </w:t>
      </w:r>
      <w:r w:rsidR="00003BA0">
        <w:rPr>
          <w:rFonts w:asciiTheme="minorHAnsi" w:hAnsiTheme="minorHAnsi" w:cstheme="minorHAnsi"/>
          <w:sz w:val="22"/>
          <w:szCs w:val="22"/>
        </w:rPr>
        <w:t xml:space="preserve">4 </w:t>
      </w:r>
      <w:r w:rsidRPr="008F58A8">
        <w:rPr>
          <w:rFonts w:asciiTheme="minorHAnsi" w:hAnsiTheme="minorHAnsi" w:cstheme="minorHAnsi"/>
          <w:sz w:val="22"/>
          <w:szCs w:val="22"/>
        </w:rPr>
        <w:t xml:space="preserve">Mandatory Units must be achieved </w:t>
      </w:r>
    </w:p>
    <w:p w14:paraId="6903D14F" w14:textId="77777777" w:rsidR="008F58A8" w:rsidRPr="008F58A8" w:rsidRDefault="008F58A8" w:rsidP="00E11C03">
      <w:pPr>
        <w:pStyle w:val="Default"/>
        <w:rPr>
          <w:rFonts w:asciiTheme="minorHAnsi" w:hAnsiTheme="minorHAnsi" w:cstheme="minorHAnsi"/>
          <w:sz w:val="22"/>
          <w:szCs w:val="22"/>
        </w:rPr>
      </w:pPr>
    </w:p>
    <w:p w14:paraId="5E58EF87" w14:textId="40FFFB46" w:rsidR="0036706C" w:rsidRDefault="00E11C03" w:rsidP="00003BA0">
      <w:pPr>
        <w:pStyle w:val="Default"/>
        <w:rPr>
          <w:rFonts w:cstheme="minorHAnsi"/>
          <w:szCs w:val="22"/>
        </w:rPr>
      </w:pPr>
      <w:r w:rsidRPr="008F58A8">
        <w:rPr>
          <w:rFonts w:asciiTheme="minorHAnsi" w:hAnsiTheme="minorHAnsi" w:cstheme="minorHAnsi"/>
          <w:b/>
          <w:bCs/>
          <w:i/>
          <w:iCs/>
          <w:sz w:val="22"/>
          <w:szCs w:val="22"/>
        </w:rPr>
        <w:t xml:space="preserve">Optional Units: </w:t>
      </w:r>
      <w:r w:rsidRPr="008F58A8">
        <w:rPr>
          <w:rFonts w:asciiTheme="minorHAnsi" w:hAnsiTheme="minorHAnsi" w:cstheme="minorHAnsi"/>
          <w:sz w:val="22"/>
          <w:szCs w:val="22"/>
        </w:rPr>
        <w:t xml:space="preserve">Learners must achieve </w:t>
      </w:r>
      <w:r w:rsidR="00003BA0">
        <w:rPr>
          <w:rFonts w:asciiTheme="minorHAnsi" w:hAnsiTheme="minorHAnsi" w:cstheme="minorHAnsi"/>
          <w:sz w:val="22"/>
          <w:szCs w:val="22"/>
        </w:rPr>
        <w:t>a minimum of 2</w:t>
      </w:r>
      <w:r w:rsidRPr="008F58A8">
        <w:rPr>
          <w:rFonts w:asciiTheme="minorHAnsi" w:hAnsiTheme="minorHAnsi" w:cstheme="minorHAnsi"/>
          <w:sz w:val="22"/>
          <w:szCs w:val="22"/>
        </w:rPr>
        <w:t xml:space="preserve"> units. </w:t>
      </w:r>
    </w:p>
    <w:p w14:paraId="569FFDFD" w14:textId="77777777" w:rsidR="008F58A8" w:rsidRPr="008F58A8" w:rsidRDefault="008F58A8" w:rsidP="00E11C03">
      <w:pPr>
        <w:pStyle w:val="mainbody"/>
        <w:rPr>
          <w:rFonts w:cstheme="minorHAnsi"/>
          <w:szCs w:val="22"/>
        </w:rPr>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3685"/>
        <w:gridCol w:w="1134"/>
        <w:gridCol w:w="1559"/>
      </w:tblGrid>
      <w:tr w:rsidR="00093096" w:rsidRPr="00551E56" w14:paraId="0F155AE6" w14:textId="77777777" w:rsidTr="00003BA0">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79A0955D" w:rsidR="00093096" w:rsidRPr="00551E56" w:rsidRDefault="008F58A8" w:rsidP="0046147D">
            <w:pPr>
              <w:pStyle w:val="mainbody"/>
              <w:spacing w:line="240" w:lineRule="auto"/>
              <w:rPr>
                <w:color w:val="000000" w:themeColor="text1"/>
              </w:rPr>
            </w:pPr>
            <w:r w:rsidRPr="00E11C03">
              <w:rPr>
                <w:bCs/>
              </w:rPr>
              <w:t xml:space="preserve">GQA-PAA\VQ-SET Level </w:t>
            </w:r>
            <w:r w:rsidR="00766B32">
              <w:rPr>
                <w:bCs/>
              </w:rPr>
              <w:t>3</w:t>
            </w:r>
            <w:r w:rsidRPr="00E11C03">
              <w:rPr>
                <w:bCs/>
              </w:rPr>
              <w:t xml:space="preserve"> </w:t>
            </w:r>
            <w:r w:rsidR="00117BAF">
              <w:rPr>
                <w:bCs/>
              </w:rPr>
              <w:t xml:space="preserve">Certificate </w:t>
            </w:r>
            <w:r w:rsidRPr="00E11C03">
              <w:rPr>
                <w:bCs/>
              </w:rPr>
              <w:t xml:space="preserve">in </w:t>
            </w:r>
            <w:r w:rsidR="00003BA0" w:rsidRPr="00003BA0">
              <w:rPr>
                <w:bCs/>
              </w:rPr>
              <w:t xml:space="preserve">Polymer </w:t>
            </w:r>
            <w:r w:rsidR="00BC00F2">
              <w:rPr>
                <w:bCs/>
              </w:rPr>
              <w:t>Operations</w:t>
            </w:r>
          </w:p>
        </w:tc>
      </w:tr>
      <w:tr w:rsidR="00093096" w:rsidRPr="00551E56" w14:paraId="0652D060" w14:textId="77777777" w:rsidTr="00003BA0">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232A6B9E" w:rsidR="00093096" w:rsidRPr="00551E56" w:rsidRDefault="00BC00F2" w:rsidP="002369F6">
            <w:pPr>
              <w:pStyle w:val="mainbody"/>
              <w:spacing w:line="240" w:lineRule="auto"/>
              <w:rPr>
                <w:color w:val="000000" w:themeColor="text1"/>
              </w:rPr>
            </w:pPr>
            <w:r w:rsidRPr="00BC00F2">
              <w:t>603/2792/3</w:t>
            </w:r>
          </w:p>
        </w:tc>
      </w:tr>
      <w:tr w:rsidR="00093096" w:rsidRPr="00551E56" w14:paraId="6AB53780" w14:textId="77777777" w:rsidTr="00003BA0">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BA0C3B">
              <w:rPr>
                <w:b/>
                <w:bCs/>
                <w:color w:val="000000" w:themeColor="text1"/>
              </w:rPr>
              <w:t>Total Credits:</w:t>
            </w:r>
          </w:p>
        </w:tc>
        <w:tc>
          <w:tcPr>
            <w:tcW w:w="6378" w:type="dxa"/>
            <w:gridSpan w:val="3"/>
            <w:shd w:val="clear" w:color="auto" w:fill="auto"/>
            <w:vAlign w:val="center"/>
          </w:tcPr>
          <w:p w14:paraId="4226EF40" w14:textId="781F4613" w:rsidR="00093096" w:rsidRPr="00551E56" w:rsidRDefault="00003BA0" w:rsidP="002369F6">
            <w:pPr>
              <w:pStyle w:val="mainbody"/>
              <w:spacing w:line="240" w:lineRule="auto"/>
              <w:rPr>
                <w:color w:val="000000" w:themeColor="text1"/>
              </w:rPr>
            </w:pPr>
            <w:r>
              <w:rPr>
                <w:color w:val="000000" w:themeColor="text1"/>
              </w:rPr>
              <w:t>35</w:t>
            </w:r>
          </w:p>
        </w:tc>
      </w:tr>
      <w:tr w:rsidR="00093096" w:rsidRPr="00551E56" w14:paraId="11C9E5FD" w14:textId="77777777" w:rsidTr="00003BA0">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21A0E602" w:rsidR="00093096" w:rsidRPr="00551E56" w:rsidRDefault="00003BA0" w:rsidP="002369F6">
            <w:pPr>
              <w:pStyle w:val="mainbody"/>
              <w:spacing w:line="240" w:lineRule="auto"/>
              <w:rPr>
                <w:color w:val="000000" w:themeColor="text1"/>
              </w:rPr>
            </w:pPr>
            <w:r>
              <w:rPr>
                <w:color w:val="000000" w:themeColor="text1"/>
              </w:rPr>
              <w:t>350</w:t>
            </w:r>
          </w:p>
        </w:tc>
      </w:tr>
      <w:tr w:rsidR="00093096" w:rsidRPr="00551E56" w14:paraId="4D2E448B" w14:textId="77777777" w:rsidTr="00003BA0">
        <w:trPr>
          <w:trHeight w:val="443"/>
        </w:trPr>
        <w:tc>
          <w:tcPr>
            <w:tcW w:w="3256" w:type="dxa"/>
            <w:gridSpan w:val="2"/>
            <w:shd w:val="clear" w:color="auto" w:fill="auto"/>
            <w:vAlign w:val="center"/>
          </w:tcPr>
          <w:p w14:paraId="0988D07D" w14:textId="77777777" w:rsidR="00093096" w:rsidRPr="00551E56" w:rsidRDefault="00093096" w:rsidP="002369F6">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60B2FA04" w14:textId="378E1045" w:rsidR="00093096" w:rsidRPr="00551E56" w:rsidRDefault="00003BA0" w:rsidP="002369F6">
            <w:pPr>
              <w:pStyle w:val="mainbody"/>
              <w:spacing w:line="240" w:lineRule="auto"/>
              <w:rPr>
                <w:color w:val="000000" w:themeColor="text1"/>
              </w:rPr>
            </w:pPr>
            <w:r>
              <w:rPr>
                <w:color w:val="000000" w:themeColor="text1"/>
              </w:rPr>
              <w:t>198</w:t>
            </w:r>
          </w:p>
        </w:tc>
      </w:tr>
      <w:tr w:rsidR="008F58A8" w:rsidRPr="00551E56" w14:paraId="37DD148B" w14:textId="77777777" w:rsidTr="00003BA0">
        <w:trPr>
          <w:trHeight w:val="454"/>
        </w:trPr>
        <w:tc>
          <w:tcPr>
            <w:tcW w:w="1413" w:type="dxa"/>
            <w:shd w:val="clear" w:color="auto" w:fill="auto"/>
            <w:vAlign w:val="center"/>
          </w:tcPr>
          <w:p w14:paraId="7E0D0C09" w14:textId="77777777" w:rsidR="008F58A8" w:rsidRPr="00551E56" w:rsidRDefault="008F58A8" w:rsidP="002369F6">
            <w:pPr>
              <w:pStyle w:val="mainbody"/>
              <w:spacing w:line="240" w:lineRule="auto"/>
              <w:jc w:val="left"/>
              <w:rPr>
                <w:b/>
                <w:bCs/>
                <w:color w:val="000000" w:themeColor="text1"/>
              </w:rPr>
            </w:pPr>
            <w:bookmarkStart w:id="0" w:name="_Hlk79649755"/>
            <w:r w:rsidRPr="00551E56">
              <w:rPr>
                <w:b/>
                <w:bCs/>
                <w:color w:val="000000" w:themeColor="text1"/>
              </w:rPr>
              <w:t xml:space="preserve">Unit number </w:t>
            </w:r>
          </w:p>
        </w:tc>
        <w:tc>
          <w:tcPr>
            <w:tcW w:w="5528" w:type="dxa"/>
            <w:gridSpan w:val="2"/>
            <w:shd w:val="clear" w:color="auto" w:fill="auto"/>
            <w:vAlign w:val="center"/>
          </w:tcPr>
          <w:p w14:paraId="5593BB51" w14:textId="77777777" w:rsidR="008F58A8" w:rsidRPr="00551E56" w:rsidRDefault="008F58A8" w:rsidP="002369F6">
            <w:pPr>
              <w:pStyle w:val="mainbody"/>
              <w:spacing w:line="240" w:lineRule="auto"/>
              <w:jc w:val="left"/>
              <w:rPr>
                <w:b/>
                <w:bCs/>
                <w:color w:val="000000" w:themeColor="text1"/>
              </w:rPr>
            </w:pPr>
            <w:r w:rsidRPr="00551E56">
              <w:rPr>
                <w:b/>
                <w:bCs/>
                <w:color w:val="000000" w:themeColor="text1"/>
              </w:rPr>
              <w:t xml:space="preserve">Title </w:t>
            </w:r>
          </w:p>
        </w:tc>
        <w:tc>
          <w:tcPr>
            <w:tcW w:w="1134" w:type="dxa"/>
            <w:shd w:val="clear" w:color="auto" w:fill="auto"/>
            <w:vAlign w:val="center"/>
          </w:tcPr>
          <w:p w14:paraId="1F85EA9E" w14:textId="77777777" w:rsidR="008F58A8" w:rsidRPr="00551E56" w:rsidRDefault="008F58A8" w:rsidP="002369F6">
            <w:pPr>
              <w:pStyle w:val="mainbody"/>
              <w:spacing w:line="240" w:lineRule="auto"/>
              <w:jc w:val="center"/>
              <w:rPr>
                <w:b/>
                <w:bCs/>
                <w:color w:val="000000" w:themeColor="text1"/>
              </w:rPr>
            </w:pPr>
            <w:r w:rsidRPr="00551E56">
              <w:rPr>
                <w:b/>
                <w:bCs/>
                <w:color w:val="000000" w:themeColor="text1"/>
              </w:rPr>
              <w:t>Level</w:t>
            </w:r>
          </w:p>
        </w:tc>
        <w:tc>
          <w:tcPr>
            <w:tcW w:w="1559" w:type="dxa"/>
            <w:shd w:val="clear" w:color="auto" w:fill="auto"/>
            <w:vAlign w:val="center"/>
          </w:tcPr>
          <w:p w14:paraId="161828AC" w14:textId="11FD9BE1" w:rsidR="008F58A8" w:rsidRPr="00551E56" w:rsidRDefault="008F58A8" w:rsidP="002369F6">
            <w:pPr>
              <w:pStyle w:val="mainbody"/>
              <w:spacing w:line="240" w:lineRule="auto"/>
              <w:jc w:val="center"/>
              <w:rPr>
                <w:b/>
                <w:bCs/>
                <w:color w:val="000000" w:themeColor="text1"/>
              </w:rPr>
            </w:pPr>
            <w:r w:rsidRPr="00551E56">
              <w:rPr>
                <w:b/>
                <w:bCs/>
                <w:color w:val="000000" w:themeColor="text1"/>
              </w:rPr>
              <w:t>Credit</w:t>
            </w:r>
          </w:p>
        </w:tc>
      </w:tr>
      <w:bookmarkEnd w:id="0"/>
      <w:tr w:rsidR="00093096" w:rsidRPr="00901060" w14:paraId="758E49E7" w14:textId="77777777" w:rsidTr="00003BA0">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257C3C" w:rsidRPr="003716B1" w14:paraId="03898455" w14:textId="77777777" w:rsidTr="00003BA0">
        <w:trPr>
          <w:trHeight w:val="454"/>
        </w:trPr>
        <w:tc>
          <w:tcPr>
            <w:tcW w:w="1413" w:type="dxa"/>
            <w:shd w:val="clear" w:color="auto" w:fill="auto"/>
          </w:tcPr>
          <w:p w14:paraId="1A1B11AC" w14:textId="20F4F55D" w:rsidR="00257C3C" w:rsidRPr="00257C3C" w:rsidRDefault="007C4AA9" w:rsidP="00257C3C">
            <w:pPr>
              <w:pStyle w:val="mainbody"/>
              <w:spacing w:line="240" w:lineRule="auto"/>
              <w:jc w:val="left"/>
            </w:pPr>
            <w:r>
              <w:t>Poly39</w:t>
            </w:r>
          </w:p>
        </w:tc>
        <w:tc>
          <w:tcPr>
            <w:tcW w:w="5528" w:type="dxa"/>
            <w:gridSpan w:val="2"/>
            <w:shd w:val="clear" w:color="auto" w:fill="auto"/>
          </w:tcPr>
          <w:p w14:paraId="1B81BC3E" w14:textId="3E55ECF2" w:rsidR="00257C3C" w:rsidRPr="00257C3C" w:rsidRDefault="007C4AA9" w:rsidP="007C4AA9">
            <w:pPr>
              <w:pStyle w:val="mainbody"/>
              <w:spacing w:line="240" w:lineRule="auto"/>
              <w:jc w:val="left"/>
            </w:pPr>
            <w:r w:rsidRPr="007C4AA9">
              <w:rPr>
                <w:sz w:val="20"/>
              </w:rPr>
              <w:t>Meet Safety, Health and Environmental Requirements in the Workplace within Polymer</w:t>
            </w:r>
            <w:r>
              <w:rPr>
                <w:sz w:val="20"/>
              </w:rPr>
              <w:t xml:space="preserve"> </w:t>
            </w:r>
            <w:r w:rsidRPr="007C4AA9">
              <w:rPr>
                <w:sz w:val="20"/>
              </w:rPr>
              <w:t>Processing and Related Environments</w:t>
            </w:r>
          </w:p>
        </w:tc>
        <w:tc>
          <w:tcPr>
            <w:tcW w:w="1134" w:type="dxa"/>
            <w:shd w:val="clear" w:color="auto" w:fill="auto"/>
          </w:tcPr>
          <w:p w14:paraId="5B1F584F" w14:textId="2CC2FEB0" w:rsidR="00257C3C" w:rsidRPr="00257C3C" w:rsidRDefault="00257C3C" w:rsidP="00257C3C">
            <w:pPr>
              <w:pStyle w:val="mainbody"/>
              <w:spacing w:line="240" w:lineRule="auto"/>
              <w:jc w:val="center"/>
            </w:pPr>
            <w:r w:rsidRPr="00257C3C">
              <w:t>2</w:t>
            </w:r>
          </w:p>
        </w:tc>
        <w:tc>
          <w:tcPr>
            <w:tcW w:w="1559" w:type="dxa"/>
            <w:shd w:val="clear" w:color="auto" w:fill="auto"/>
          </w:tcPr>
          <w:p w14:paraId="7790A7FD" w14:textId="2C9BFCC4" w:rsidR="00257C3C" w:rsidRPr="003716B1" w:rsidRDefault="00003BA0" w:rsidP="00257C3C">
            <w:pPr>
              <w:pStyle w:val="mainbody"/>
              <w:spacing w:line="240" w:lineRule="auto"/>
              <w:jc w:val="center"/>
            </w:pPr>
            <w:r>
              <w:t>3</w:t>
            </w:r>
          </w:p>
        </w:tc>
      </w:tr>
      <w:tr w:rsidR="007C4AA9" w:rsidRPr="003716B1" w14:paraId="77B94875" w14:textId="77777777" w:rsidTr="00003BA0">
        <w:trPr>
          <w:trHeight w:val="397"/>
        </w:trPr>
        <w:tc>
          <w:tcPr>
            <w:tcW w:w="1413" w:type="dxa"/>
            <w:shd w:val="clear" w:color="000000" w:fill="FFFFFF"/>
          </w:tcPr>
          <w:p w14:paraId="4DA66840" w14:textId="35A3E0DF" w:rsidR="007C4AA9" w:rsidRPr="00257C3C" w:rsidRDefault="007C4AA9" w:rsidP="007C4AA9">
            <w:pPr>
              <w:pStyle w:val="mainbody"/>
              <w:spacing w:line="240" w:lineRule="auto"/>
              <w:jc w:val="left"/>
            </w:pPr>
            <w:r w:rsidRPr="000C3700">
              <w:t>Poly</w:t>
            </w:r>
            <w:r>
              <w:t>47</w:t>
            </w:r>
          </w:p>
        </w:tc>
        <w:tc>
          <w:tcPr>
            <w:tcW w:w="5528" w:type="dxa"/>
            <w:gridSpan w:val="2"/>
            <w:shd w:val="clear" w:color="000000" w:fill="FFFFFF"/>
          </w:tcPr>
          <w:p w14:paraId="03FA4202" w14:textId="3030D52C" w:rsidR="007C4AA9" w:rsidRPr="00257C3C" w:rsidRDefault="007C4AA9" w:rsidP="007C4AA9">
            <w:pPr>
              <w:pStyle w:val="mainbody"/>
              <w:spacing w:line="240" w:lineRule="auto"/>
              <w:jc w:val="left"/>
            </w:pPr>
            <w:r w:rsidRPr="007C4AA9">
              <w:rPr>
                <w:sz w:val="20"/>
              </w:rPr>
              <w:t>Rectify Process Problems within Polymer Processing and Related Environment</w:t>
            </w:r>
          </w:p>
        </w:tc>
        <w:tc>
          <w:tcPr>
            <w:tcW w:w="1134" w:type="dxa"/>
            <w:shd w:val="clear" w:color="000000" w:fill="FFFFFF"/>
          </w:tcPr>
          <w:p w14:paraId="32C309A3" w14:textId="6D5AF6F7" w:rsidR="007C4AA9" w:rsidRPr="00257C3C" w:rsidRDefault="00003BA0" w:rsidP="007C4AA9">
            <w:pPr>
              <w:pStyle w:val="mainbody"/>
              <w:spacing w:line="240" w:lineRule="auto"/>
              <w:jc w:val="center"/>
            </w:pPr>
            <w:r>
              <w:t>3</w:t>
            </w:r>
          </w:p>
        </w:tc>
        <w:tc>
          <w:tcPr>
            <w:tcW w:w="1559" w:type="dxa"/>
            <w:shd w:val="clear" w:color="000000" w:fill="FFFFFF"/>
          </w:tcPr>
          <w:p w14:paraId="1118992F" w14:textId="73A6844C" w:rsidR="007C4AA9" w:rsidRPr="003716B1" w:rsidRDefault="00003BA0" w:rsidP="007C4AA9">
            <w:pPr>
              <w:pStyle w:val="mainbody"/>
              <w:spacing w:line="240" w:lineRule="auto"/>
              <w:jc w:val="center"/>
            </w:pPr>
            <w:r>
              <w:t>8</w:t>
            </w:r>
          </w:p>
        </w:tc>
      </w:tr>
      <w:tr w:rsidR="007C4AA9" w:rsidRPr="003716B1" w14:paraId="76DF2CAC" w14:textId="77777777" w:rsidTr="00003BA0">
        <w:trPr>
          <w:trHeight w:val="397"/>
        </w:trPr>
        <w:tc>
          <w:tcPr>
            <w:tcW w:w="1413" w:type="dxa"/>
            <w:shd w:val="clear" w:color="000000" w:fill="FFFFFF"/>
          </w:tcPr>
          <w:p w14:paraId="1A1DAD0A" w14:textId="434B3182" w:rsidR="007C4AA9" w:rsidRPr="00257C3C" w:rsidRDefault="007C4AA9" w:rsidP="007C4AA9">
            <w:pPr>
              <w:pStyle w:val="mainbody"/>
              <w:spacing w:line="240" w:lineRule="auto"/>
              <w:jc w:val="left"/>
            </w:pPr>
            <w:r w:rsidRPr="000C3700">
              <w:t>Poly</w:t>
            </w:r>
            <w:r>
              <w:t>29</w:t>
            </w:r>
          </w:p>
        </w:tc>
        <w:tc>
          <w:tcPr>
            <w:tcW w:w="5528" w:type="dxa"/>
            <w:gridSpan w:val="2"/>
            <w:shd w:val="clear" w:color="000000" w:fill="FFFFFF"/>
          </w:tcPr>
          <w:p w14:paraId="7F8407E9" w14:textId="3B455A59" w:rsidR="007C4AA9" w:rsidRPr="00257C3C" w:rsidRDefault="007C4AA9" w:rsidP="007C4AA9">
            <w:pPr>
              <w:pStyle w:val="mainbody"/>
              <w:spacing w:line="240" w:lineRule="auto"/>
              <w:jc w:val="left"/>
            </w:pPr>
            <w:r w:rsidRPr="007C4AA9">
              <w:rPr>
                <w:sz w:val="20"/>
              </w:rPr>
              <w:t>Configure and Set Processing Systems to Meet Production Requirements within Polymer</w:t>
            </w:r>
            <w:r>
              <w:rPr>
                <w:sz w:val="20"/>
              </w:rPr>
              <w:t xml:space="preserve"> </w:t>
            </w:r>
            <w:r w:rsidRPr="007C4AA9">
              <w:rPr>
                <w:sz w:val="20"/>
              </w:rPr>
              <w:t>Processing and Related Environments</w:t>
            </w:r>
          </w:p>
        </w:tc>
        <w:tc>
          <w:tcPr>
            <w:tcW w:w="1134" w:type="dxa"/>
            <w:shd w:val="clear" w:color="000000" w:fill="FFFFFF"/>
          </w:tcPr>
          <w:p w14:paraId="07306717" w14:textId="49114DB9" w:rsidR="007C4AA9" w:rsidRPr="00257C3C" w:rsidRDefault="00003BA0" w:rsidP="007C4AA9">
            <w:pPr>
              <w:pStyle w:val="mainbody"/>
              <w:spacing w:line="240" w:lineRule="auto"/>
              <w:jc w:val="center"/>
            </w:pPr>
            <w:r>
              <w:t>3</w:t>
            </w:r>
          </w:p>
        </w:tc>
        <w:tc>
          <w:tcPr>
            <w:tcW w:w="1559" w:type="dxa"/>
            <w:shd w:val="clear" w:color="000000" w:fill="FFFFFF"/>
          </w:tcPr>
          <w:p w14:paraId="0F9F8C89" w14:textId="167C94FE" w:rsidR="007C4AA9" w:rsidRPr="003716B1" w:rsidRDefault="00003BA0" w:rsidP="007C4AA9">
            <w:pPr>
              <w:pStyle w:val="mainbody"/>
              <w:spacing w:line="240" w:lineRule="auto"/>
              <w:jc w:val="center"/>
            </w:pPr>
            <w:r>
              <w:t>6</w:t>
            </w:r>
          </w:p>
        </w:tc>
      </w:tr>
      <w:tr w:rsidR="007C4AA9" w:rsidRPr="003716B1" w14:paraId="27FB81E7" w14:textId="77777777" w:rsidTr="00003BA0">
        <w:trPr>
          <w:trHeight w:val="397"/>
        </w:trPr>
        <w:tc>
          <w:tcPr>
            <w:tcW w:w="1413" w:type="dxa"/>
            <w:shd w:val="clear" w:color="000000" w:fill="FFFFFF"/>
          </w:tcPr>
          <w:p w14:paraId="4F3EC887" w14:textId="2D463975" w:rsidR="007C4AA9" w:rsidRPr="00257C3C" w:rsidRDefault="007C4AA9" w:rsidP="007C4AA9">
            <w:pPr>
              <w:pStyle w:val="mainbody"/>
              <w:spacing w:line="240" w:lineRule="auto"/>
              <w:jc w:val="left"/>
            </w:pPr>
            <w:r w:rsidRPr="000C3700">
              <w:t>Poly3</w:t>
            </w:r>
            <w:r>
              <w:t>0</w:t>
            </w:r>
          </w:p>
        </w:tc>
        <w:tc>
          <w:tcPr>
            <w:tcW w:w="5528" w:type="dxa"/>
            <w:gridSpan w:val="2"/>
            <w:shd w:val="clear" w:color="000000" w:fill="FFFFFF"/>
          </w:tcPr>
          <w:p w14:paraId="369FC55A" w14:textId="31B7EFF1" w:rsidR="007C4AA9" w:rsidRPr="00257C3C" w:rsidRDefault="007C4AA9" w:rsidP="007C4AA9">
            <w:pPr>
              <w:pStyle w:val="mainbody"/>
              <w:spacing w:line="240" w:lineRule="auto"/>
              <w:jc w:val="left"/>
            </w:pPr>
            <w:r w:rsidRPr="007C4AA9">
              <w:rPr>
                <w:sz w:val="20"/>
              </w:rPr>
              <w:t>Optimise Operations Which are Under Process Control within Polymer Processing and Related</w:t>
            </w:r>
            <w:r>
              <w:rPr>
                <w:sz w:val="20"/>
              </w:rPr>
              <w:t xml:space="preserve"> </w:t>
            </w:r>
            <w:r w:rsidRPr="007C4AA9">
              <w:rPr>
                <w:sz w:val="20"/>
              </w:rPr>
              <w:t>Environments</w:t>
            </w:r>
          </w:p>
        </w:tc>
        <w:tc>
          <w:tcPr>
            <w:tcW w:w="1134" w:type="dxa"/>
            <w:shd w:val="clear" w:color="000000" w:fill="FFFFFF"/>
          </w:tcPr>
          <w:p w14:paraId="2A62CD29" w14:textId="11788FBF" w:rsidR="007C4AA9" w:rsidRPr="00257C3C" w:rsidRDefault="00003BA0" w:rsidP="007C4AA9">
            <w:pPr>
              <w:pStyle w:val="mainbody"/>
              <w:spacing w:line="240" w:lineRule="auto"/>
              <w:jc w:val="center"/>
            </w:pPr>
            <w:r>
              <w:t>3</w:t>
            </w:r>
          </w:p>
        </w:tc>
        <w:tc>
          <w:tcPr>
            <w:tcW w:w="1559" w:type="dxa"/>
            <w:shd w:val="clear" w:color="000000" w:fill="FFFFFF"/>
          </w:tcPr>
          <w:p w14:paraId="6DD1E2ED" w14:textId="05E59D78" w:rsidR="007C4AA9" w:rsidRPr="003716B1" w:rsidRDefault="00003BA0" w:rsidP="007C4AA9">
            <w:pPr>
              <w:pStyle w:val="mainbody"/>
              <w:spacing w:line="240" w:lineRule="auto"/>
              <w:jc w:val="center"/>
            </w:pPr>
            <w:r>
              <w:t>7</w:t>
            </w:r>
          </w:p>
        </w:tc>
      </w:tr>
      <w:tr w:rsidR="00093096" w:rsidRPr="00AE6151" w14:paraId="24D29D12" w14:textId="77777777" w:rsidTr="00003BA0">
        <w:trPr>
          <w:trHeight w:val="397"/>
        </w:trPr>
        <w:tc>
          <w:tcPr>
            <w:tcW w:w="9634" w:type="dxa"/>
            <w:gridSpan w:val="5"/>
            <w:shd w:val="clear" w:color="auto" w:fill="auto"/>
            <w:vAlign w:val="center"/>
          </w:tcPr>
          <w:p w14:paraId="73B02D9A" w14:textId="45473EC5" w:rsidR="00BA4BBE" w:rsidRDefault="00093096" w:rsidP="00BA4BBE">
            <w:pPr>
              <w:pStyle w:val="Default"/>
              <w:rPr>
                <w:b/>
                <w:bCs/>
                <w:color w:val="000000" w:themeColor="text1"/>
              </w:rPr>
            </w:pPr>
            <w:r>
              <w:rPr>
                <w:b/>
                <w:bCs/>
                <w:color w:val="000000" w:themeColor="text1"/>
              </w:rPr>
              <w:t>Optional</w:t>
            </w:r>
            <w:r w:rsidRPr="00AE6151">
              <w:rPr>
                <w:b/>
                <w:bCs/>
                <w:color w:val="000000" w:themeColor="text1"/>
              </w:rPr>
              <w:t xml:space="preserve"> Units</w:t>
            </w:r>
            <w:r w:rsidR="00CE2E2E">
              <w:rPr>
                <w:b/>
                <w:bCs/>
                <w:color w:val="000000" w:themeColor="text1"/>
              </w:rPr>
              <w:t xml:space="preserve"> a </w:t>
            </w:r>
            <w:r w:rsidR="00CE2E2E" w:rsidRPr="00CE2E2E">
              <w:rPr>
                <w:b/>
                <w:bCs/>
                <w:color w:val="000000" w:themeColor="text1"/>
              </w:rPr>
              <w:t xml:space="preserve">minimum of </w:t>
            </w:r>
            <w:r w:rsidR="00003BA0">
              <w:rPr>
                <w:b/>
                <w:bCs/>
                <w:color w:val="000000" w:themeColor="text1"/>
              </w:rPr>
              <w:t>2</w:t>
            </w:r>
            <w:r w:rsidR="008F58A8">
              <w:rPr>
                <w:b/>
                <w:bCs/>
                <w:color w:val="000000" w:themeColor="text1"/>
              </w:rPr>
              <w:t xml:space="preserve"> units </w:t>
            </w:r>
            <w:r w:rsidR="00CE2E2E" w:rsidRPr="00CE2E2E">
              <w:rPr>
                <w:b/>
                <w:bCs/>
                <w:color w:val="000000" w:themeColor="text1"/>
              </w:rPr>
              <w:t xml:space="preserve"> must be achieved  </w:t>
            </w:r>
          </w:p>
          <w:p w14:paraId="6AC1B892" w14:textId="593FF6F0" w:rsidR="00093096" w:rsidRPr="00BA4BBE" w:rsidRDefault="00093096" w:rsidP="00BA4BBE">
            <w:pPr>
              <w:pStyle w:val="Default"/>
              <w:rPr>
                <w:rFonts w:asciiTheme="minorHAnsi" w:hAnsiTheme="minorHAnsi" w:cstheme="minorHAnsi"/>
                <w:i/>
                <w:iCs/>
                <w:sz w:val="22"/>
                <w:szCs w:val="22"/>
              </w:rPr>
            </w:pPr>
          </w:p>
        </w:tc>
      </w:tr>
      <w:tr w:rsidR="008F58A8" w:rsidRPr="00551E56" w14:paraId="59A82518" w14:textId="77777777" w:rsidTr="00003BA0">
        <w:trPr>
          <w:trHeight w:val="397"/>
        </w:trPr>
        <w:tc>
          <w:tcPr>
            <w:tcW w:w="1413" w:type="dxa"/>
            <w:shd w:val="clear" w:color="auto" w:fill="auto"/>
          </w:tcPr>
          <w:p w14:paraId="3EE081D2" w14:textId="110BFFCC" w:rsidR="008F58A8" w:rsidRPr="008F58A8" w:rsidRDefault="008F58A8" w:rsidP="008F58A8">
            <w:pPr>
              <w:pStyle w:val="mainbody"/>
              <w:spacing w:line="240" w:lineRule="auto"/>
              <w:jc w:val="left"/>
              <w:rPr>
                <w:b/>
                <w:bCs/>
                <w:color w:val="000000" w:themeColor="text1"/>
              </w:rPr>
            </w:pPr>
            <w:r w:rsidRPr="008F58A8">
              <w:rPr>
                <w:b/>
                <w:bCs/>
                <w:color w:val="000000" w:themeColor="text1"/>
              </w:rPr>
              <w:t>Unit number</w:t>
            </w:r>
          </w:p>
        </w:tc>
        <w:tc>
          <w:tcPr>
            <w:tcW w:w="5528" w:type="dxa"/>
            <w:gridSpan w:val="2"/>
            <w:shd w:val="clear" w:color="auto" w:fill="auto"/>
          </w:tcPr>
          <w:p w14:paraId="45E13DAA" w14:textId="41EB6F7B" w:rsidR="008F58A8" w:rsidRPr="008F58A8" w:rsidRDefault="008F58A8" w:rsidP="008F58A8">
            <w:pPr>
              <w:pStyle w:val="mainbody"/>
              <w:spacing w:line="240" w:lineRule="auto"/>
              <w:jc w:val="left"/>
              <w:rPr>
                <w:b/>
                <w:bCs/>
                <w:color w:val="000000" w:themeColor="text1"/>
              </w:rPr>
            </w:pPr>
            <w:r w:rsidRPr="008F58A8">
              <w:rPr>
                <w:b/>
                <w:bCs/>
                <w:color w:val="000000" w:themeColor="text1"/>
              </w:rPr>
              <w:t>Title</w:t>
            </w:r>
          </w:p>
        </w:tc>
        <w:tc>
          <w:tcPr>
            <w:tcW w:w="1134" w:type="dxa"/>
            <w:shd w:val="clear" w:color="auto" w:fill="auto"/>
            <w:vAlign w:val="center"/>
          </w:tcPr>
          <w:p w14:paraId="6D077D92" w14:textId="36017717" w:rsidR="008F58A8" w:rsidRPr="008F58A8" w:rsidRDefault="008F58A8" w:rsidP="008F58A8">
            <w:pPr>
              <w:pStyle w:val="mainbody"/>
              <w:spacing w:line="240" w:lineRule="auto"/>
              <w:jc w:val="center"/>
              <w:rPr>
                <w:b/>
                <w:bCs/>
                <w:color w:val="000000" w:themeColor="text1"/>
              </w:rPr>
            </w:pPr>
            <w:r w:rsidRPr="008F58A8">
              <w:rPr>
                <w:b/>
                <w:bCs/>
                <w:color w:val="000000" w:themeColor="text1"/>
              </w:rPr>
              <w:t>Level</w:t>
            </w:r>
          </w:p>
        </w:tc>
        <w:tc>
          <w:tcPr>
            <w:tcW w:w="1559" w:type="dxa"/>
            <w:shd w:val="clear" w:color="auto" w:fill="auto"/>
            <w:vAlign w:val="center"/>
          </w:tcPr>
          <w:p w14:paraId="53692992" w14:textId="714271C3" w:rsidR="008F58A8" w:rsidRDefault="008F58A8" w:rsidP="008F58A8">
            <w:pPr>
              <w:pStyle w:val="mainbody"/>
              <w:spacing w:line="240" w:lineRule="auto"/>
              <w:jc w:val="center"/>
              <w:rPr>
                <w:color w:val="000000" w:themeColor="text1"/>
              </w:rPr>
            </w:pPr>
            <w:r w:rsidRPr="00551E56">
              <w:rPr>
                <w:b/>
                <w:bCs/>
                <w:color w:val="000000" w:themeColor="text1"/>
              </w:rPr>
              <w:t>Credit</w:t>
            </w:r>
          </w:p>
        </w:tc>
      </w:tr>
      <w:tr w:rsidR="00766B32" w:rsidRPr="00551E56" w14:paraId="584D127C" w14:textId="77777777" w:rsidTr="00003BA0">
        <w:trPr>
          <w:trHeight w:val="397"/>
        </w:trPr>
        <w:tc>
          <w:tcPr>
            <w:tcW w:w="1413" w:type="dxa"/>
            <w:shd w:val="clear" w:color="auto" w:fill="auto"/>
          </w:tcPr>
          <w:p w14:paraId="22A3F04C" w14:textId="41C077C9" w:rsidR="00766B32" w:rsidRPr="00190C2A" w:rsidRDefault="007C4AA9" w:rsidP="00766B32">
            <w:pPr>
              <w:pStyle w:val="mainbody"/>
              <w:spacing w:line="240" w:lineRule="auto"/>
              <w:jc w:val="left"/>
              <w:rPr>
                <w:color w:val="000000" w:themeColor="text1"/>
              </w:rPr>
            </w:pPr>
            <w:r>
              <w:rPr>
                <w:color w:val="000000" w:themeColor="text1"/>
              </w:rPr>
              <w:t>POLY27</w:t>
            </w:r>
          </w:p>
        </w:tc>
        <w:tc>
          <w:tcPr>
            <w:tcW w:w="5528" w:type="dxa"/>
            <w:gridSpan w:val="2"/>
            <w:shd w:val="clear" w:color="auto" w:fill="auto"/>
          </w:tcPr>
          <w:p w14:paraId="064660A4" w14:textId="039429F5" w:rsidR="00766B32" w:rsidRPr="00190C2A" w:rsidRDefault="007C4AA9" w:rsidP="007C4AA9">
            <w:pPr>
              <w:pStyle w:val="mainbody"/>
              <w:spacing w:line="240" w:lineRule="auto"/>
              <w:jc w:val="left"/>
              <w:rPr>
                <w:color w:val="000000" w:themeColor="text1"/>
              </w:rPr>
            </w:pPr>
            <w:r w:rsidRPr="007C4AA9">
              <w:rPr>
                <w:sz w:val="20"/>
              </w:rPr>
              <w:t>Carry Out Routine Servicing Procedures on Polymer Process Plant and Equipment within Polymer</w:t>
            </w:r>
            <w:r>
              <w:rPr>
                <w:sz w:val="20"/>
              </w:rPr>
              <w:t xml:space="preserve"> </w:t>
            </w:r>
            <w:r w:rsidRPr="007C4AA9">
              <w:rPr>
                <w:sz w:val="20"/>
              </w:rPr>
              <w:t>Processing and Related Environments</w:t>
            </w:r>
          </w:p>
        </w:tc>
        <w:tc>
          <w:tcPr>
            <w:tcW w:w="1134" w:type="dxa"/>
            <w:shd w:val="clear" w:color="auto" w:fill="auto"/>
          </w:tcPr>
          <w:p w14:paraId="54F61C90" w14:textId="04C14CE6" w:rsidR="00766B32" w:rsidRDefault="00766B32" w:rsidP="00766B32">
            <w:pPr>
              <w:pStyle w:val="mainbody"/>
              <w:spacing w:line="240" w:lineRule="auto"/>
              <w:jc w:val="center"/>
              <w:rPr>
                <w:color w:val="000000" w:themeColor="text1"/>
              </w:rPr>
            </w:pPr>
            <w:r>
              <w:rPr>
                <w:color w:val="000000" w:themeColor="text1"/>
              </w:rPr>
              <w:t>3</w:t>
            </w:r>
          </w:p>
        </w:tc>
        <w:tc>
          <w:tcPr>
            <w:tcW w:w="1559" w:type="dxa"/>
            <w:shd w:val="clear" w:color="auto" w:fill="auto"/>
          </w:tcPr>
          <w:p w14:paraId="00B2A7DE" w14:textId="4CE1B664" w:rsidR="00766B32" w:rsidRDefault="00003BA0" w:rsidP="00766B32">
            <w:pPr>
              <w:pStyle w:val="mainbody"/>
              <w:spacing w:line="240" w:lineRule="auto"/>
              <w:jc w:val="center"/>
              <w:rPr>
                <w:color w:val="000000" w:themeColor="text1"/>
              </w:rPr>
            </w:pPr>
            <w:r>
              <w:rPr>
                <w:color w:val="000000" w:themeColor="text1"/>
              </w:rPr>
              <w:t>7</w:t>
            </w:r>
          </w:p>
        </w:tc>
      </w:tr>
      <w:tr w:rsidR="007C4AA9" w:rsidRPr="00551E56" w14:paraId="1083F7B9" w14:textId="77777777" w:rsidTr="00003BA0">
        <w:trPr>
          <w:trHeight w:val="397"/>
        </w:trPr>
        <w:tc>
          <w:tcPr>
            <w:tcW w:w="1413" w:type="dxa"/>
            <w:shd w:val="clear" w:color="auto" w:fill="auto"/>
          </w:tcPr>
          <w:p w14:paraId="1FCB16EF" w14:textId="006C5DF4" w:rsidR="007C4AA9" w:rsidRPr="00190C2A" w:rsidRDefault="007C4AA9" w:rsidP="007C4AA9">
            <w:pPr>
              <w:pStyle w:val="mainbody"/>
              <w:spacing w:line="240" w:lineRule="auto"/>
              <w:jc w:val="left"/>
              <w:rPr>
                <w:color w:val="000000" w:themeColor="text1"/>
              </w:rPr>
            </w:pPr>
            <w:r w:rsidRPr="00BF12DF">
              <w:t>POLY</w:t>
            </w:r>
            <w:r>
              <w:t>34</w:t>
            </w:r>
          </w:p>
        </w:tc>
        <w:tc>
          <w:tcPr>
            <w:tcW w:w="5528" w:type="dxa"/>
            <w:gridSpan w:val="2"/>
            <w:shd w:val="clear" w:color="auto" w:fill="auto"/>
          </w:tcPr>
          <w:p w14:paraId="4D3B9A47" w14:textId="3BD2EA58" w:rsidR="007C4AA9" w:rsidRPr="00190C2A" w:rsidRDefault="007C4AA9" w:rsidP="007C4AA9">
            <w:pPr>
              <w:pStyle w:val="mainbody"/>
              <w:spacing w:line="240" w:lineRule="auto"/>
              <w:jc w:val="left"/>
              <w:rPr>
                <w:color w:val="000000" w:themeColor="text1"/>
              </w:rPr>
            </w:pPr>
            <w:r w:rsidRPr="007C4AA9">
              <w:rPr>
                <w:sz w:val="20"/>
              </w:rPr>
              <w:t>Carry Out Complex Sampling Operations within Polymer Processing and Related Environments</w:t>
            </w:r>
          </w:p>
        </w:tc>
        <w:tc>
          <w:tcPr>
            <w:tcW w:w="1134" w:type="dxa"/>
            <w:shd w:val="clear" w:color="auto" w:fill="auto"/>
          </w:tcPr>
          <w:p w14:paraId="029A6C44" w14:textId="203F91E9" w:rsidR="007C4AA9" w:rsidRDefault="007C4AA9" w:rsidP="007C4AA9">
            <w:pPr>
              <w:pStyle w:val="mainbody"/>
              <w:spacing w:line="240" w:lineRule="auto"/>
              <w:jc w:val="center"/>
              <w:rPr>
                <w:color w:val="000000" w:themeColor="text1"/>
              </w:rPr>
            </w:pPr>
            <w:r>
              <w:rPr>
                <w:color w:val="000000" w:themeColor="text1"/>
              </w:rPr>
              <w:t>3</w:t>
            </w:r>
          </w:p>
        </w:tc>
        <w:tc>
          <w:tcPr>
            <w:tcW w:w="1559" w:type="dxa"/>
            <w:shd w:val="clear" w:color="auto" w:fill="auto"/>
          </w:tcPr>
          <w:p w14:paraId="79381157" w14:textId="616CFD13" w:rsidR="007C4AA9" w:rsidRDefault="00003BA0" w:rsidP="007C4AA9">
            <w:pPr>
              <w:pStyle w:val="mainbody"/>
              <w:spacing w:line="240" w:lineRule="auto"/>
              <w:jc w:val="center"/>
              <w:rPr>
                <w:color w:val="000000" w:themeColor="text1"/>
              </w:rPr>
            </w:pPr>
            <w:r>
              <w:rPr>
                <w:color w:val="000000" w:themeColor="text1"/>
              </w:rPr>
              <w:t>7</w:t>
            </w:r>
          </w:p>
        </w:tc>
      </w:tr>
      <w:tr w:rsidR="007C4AA9" w:rsidRPr="00551E56" w14:paraId="1CFB23B9" w14:textId="77777777" w:rsidTr="00003BA0">
        <w:trPr>
          <w:trHeight w:val="397"/>
        </w:trPr>
        <w:tc>
          <w:tcPr>
            <w:tcW w:w="1413" w:type="dxa"/>
            <w:shd w:val="clear" w:color="auto" w:fill="auto"/>
          </w:tcPr>
          <w:p w14:paraId="129854EE" w14:textId="2BF13982" w:rsidR="007C4AA9" w:rsidRPr="00190C2A" w:rsidRDefault="007C4AA9" w:rsidP="007C4AA9">
            <w:pPr>
              <w:pStyle w:val="mainbody"/>
              <w:spacing w:line="240" w:lineRule="auto"/>
              <w:jc w:val="left"/>
              <w:rPr>
                <w:color w:val="000000" w:themeColor="text1"/>
              </w:rPr>
            </w:pPr>
            <w:r w:rsidRPr="00BF12DF">
              <w:t>POLY</w:t>
            </w:r>
            <w:r>
              <w:t>36</w:t>
            </w:r>
          </w:p>
        </w:tc>
        <w:tc>
          <w:tcPr>
            <w:tcW w:w="5528" w:type="dxa"/>
            <w:gridSpan w:val="2"/>
            <w:shd w:val="clear" w:color="auto" w:fill="auto"/>
          </w:tcPr>
          <w:p w14:paraId="78FEED8C" w14:textId="016A9384" w:rsidR="007C4AA9" w:rsidRPr="00190C2A" w:rsidRDefault="00003BA0" w:rsidP="007C4AA9">
            <w:pPr>
              <w:pStyle w:val="mainbody"/>
              <w:spacing w:line="240" w:lineRule="auto"/>
              <w:jc w:val="left"/>
              <w:rPr>
                <w:color w:val="000000" w:themeColor="text1"/>
              </w:rPr>
            </w:pPr>
            <w:r w:rsidRPr="00003BA0">
              <w:rPr>
                <w:sz w:val="20"/>
              </w:rPr>
              <w:t>Provide Technical Support within Polymer Processing and Related Environments</w:t>
            </w:r>
          </w:p>
        </w:tc>
        <w:tc>
          <w:tcPr>
            <w:tcW w:w="1134" w:type="dxa"/>
            <w:shd w:val="clear" w:color="auto" w:fill="auto"/>
          </w:tcPr>
          <w:p w14:paraId="66EC11D0" w14:textId="1CFB2879" w:rsidR="007C4AA9" w:rsidRDefault="007C4AA9" w:rsidP="007C4AA9">
            <w:pPr>
              <w:pStyle w:val="mainbody"/>
              <w:spacing w:line="240" w:lineRule="auto"/>
              <w:jc w:val="center"/>
              <w:rPr>
                <w:color w:val="000000" w:themeColor="text1"/>
              </w:rPr>
            </w:pPr>
            <w:r>
              <w:rPr>
                <w:color w:val="000000" w:themeColor="text1"/>
              </w:rPr>
              <w:t>4</w:t>
            </w:r>
          </w:p>
        </w:tc>
        <w:tc>
          <w:tcPr>
            <w:tcW w:w="1559" w:type="dxa"/>
            <w:shd w:val="clear" w:color="auto" w:fill="auto"/>
          </w:tcPr>
          <w:p w14:paraId="09743F71" w14:textId="7F875874" w:rsidR="007C4AA9" w:rsidRDefault="00003BA0" w:rsidP="007C4AA9">
            <w:pPr>
              <w:pStyle w:val="mainbody"/>
              <w:spacing w:line="240" w:lineRule="auto"/>
              <w:jc w:val="center"/>
              <w:rPr>
                <w:color w:val="000000" w:themeColor="text1"/>
              </w:rPr>
            </w:pPr>
            <w:r>
              <w:rPr>
                <w:color w:val="000000" w:themeColor="text1"/>
              </w:rPr>
              <w:t>8</w:t>
            </w:r>
          </w:p>
        </w:tc>
      </w:tr>
      <w:tr w:rsidR="007C4AA9" w:rsidRPr="00551E56" w14:paraId="251BC528" w14:textId="77777777" w:rsidTr="00003BA0">
        <w:trPr>
          <w:trHeight w:val="397"/>
        </w:trPr>
        <w:tc>
          <w:tcPr>
            <w:tcW w:w="1413" w:type="dxa"/>
            <w:shd w:val="clear" w:color="auto" w:fill="auto"/>
          </w:tcPr>
          <w:p w14:paraId="7898902C" w14:textId="54031F1C" w:rsidR="007C4AA9" w:rsidRPr="00190C2A" w:rsidRDefault="007C4AA9" w:rsidP="007C4AA9">
            <w:pPr>
              <w:pStyle w:val="mainbody"/>
              <w:spacing w:line="240" w:lineRule="auto"/>
              <w:jc w:val="left"/>
              <w:rPr>
                <w:color w:val="000000" w:themeColor="text1"/>
              </w:rPr>
            </w:pPr>
            <w:r w:rsidRPr="00BF12DF">
              <w:t>POLY</w:t>
            </w:r>
            <w:r>
              <w:t>38</w:t>
            </w:r>
          </w:p>
        </w:tc>
        <w:tc>
          <w:tcPr>
            <w:tcW w:w="5528" w:type="dxa"/>
            <w:gridSpan w:val="2"/>
            <w:shd w:val="clear" w:color="auto" w:fill="auto"/>
          </w:tcPr>
          <w:p w14:paraId="0FDFD36F" w14:textId="6171D935" w:rsidR="007C4AA9" w:rsidRPr="00190C2A" w:rsidRDefault="00003BA0" w:rsidP="007C4AA9">
            <w:pPr>
              <w:pStyle w:val="mainbody"/>
              <w:spacing w:line="240" w:lineRule="auto"/>
              <w:jc w:val="left"/>
              <w:rPr>
                <w:color w:val="000000" w:themeColor="text1"/>
              </w:rPr>
            </w:pPr>
            <w:r w:rsidRPr="00003BA0">
              <w:rPr>
                <w:sz w:val="20"/>
              </w:rPr>
              <w:t>Plan Polymer Process Activities within Polymer Processing and Related Environments</w:t>
            </w:r>
          </w:p>
        </w:tc>
        <w:tc>
          <w:tcPr>
            <w:tcW w:w="1134" w:type="dxa"/>
            <w:shd w:val="clear" w:color="auto" w:fill="auto"/>
          </w:tcPr>
          <w:p w14:paraId="18BF0F16" w14:textId="2F1C3A93" w:rsidR="007C4AA9" w:rsidRDefault="00003BA0" w:rsidP="007C4AA9">
            <w:pPr>
              <w:pStyle w:val="mainbody"/>
              <w:spacing w:line="240" w:lineRule="auto"/>
              <w:jc w:val="center"/>
              <w:rPr>
                <w:color w:val="000000" w:themeColor="text1"/>
              </w:rPr>
            </w:pPr>
            <w:r>
              <w:rPr>
                <w:color w:val="000000" w:themeColor="text1"/>
              </w:rPr>
              <w:t>3</w:t>
            </w:r>
          </w:p>
        </w:tc>
        <w:tc>
          <w:tcPr>
            <w:tcW w:w="1559" w:type="dxa"/>
            <w:shd w:val="clear" w:color="auto" w:fill="auto"/>
          </w:tcPr>
          <w:p w14:paraId="74B27696" w14:textId="3AB6AAA4" w:rsidR="007C4AA9" w:rsidRDefault="00003BA0" w:rsidP="007C4AA9">
            <w:pPr>
              <w:pStyle w:val="mainbody"/>
              <w:spacing w:line="240" w:lineRule="auto"/>
              <w:jc w:val="center"/>
              <w:rPr>
                <w:color w:val="000000" w:themeColor="text1"/>
              </w:rPr>
            </w:pPr>
            <w:r>
              <w:rPr>
                <w:color w:val="000000" w:themeColor="text1"/>
              </w:rPr>
              <w:t>4</w:t>
            </w:r>
          </w:p>
        </w:tc>
      </w:tr>
    </w:tbl>
    <w:p w14:paraId="4F964D68" w14:textId="5C69F59A" w:rsidR="00D522FD" w:rsidRDefault="00D522FD" w:rsidP="00257C3C">
      <w:pPr>
        <w:ind w:left="0" w:firstLine="0"/>
      </w:pPr>
    </w:p>
    <w:p w14:paraId="232CBFB5" w14:textId="45C400A7" w:rsidR="00530347" w:rsidRPr="00D80D05" w:rsidRDefault="00257C3C" w:rsidP="009C46BB">
      <w:pPr>
        <w:pStyle w:val="Heading1"/>
      </w:pPr>
      <w:r>
        <w:t>A</w:t>
      </w:r>
      <w:r w:rsidR="00C438DF" w:rsidRPr="00D80D05">
        <w:t xml:space="preserve">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732F" w14:textId="77777777" w:rsidR="00A7178C" w:rsidRDefault="00A7178C">
      <w:pPr>
        <w:spacing w:after="0" w:line="240" w:lineRule="auto"/>
      </w:pPr>
      <w:r>
        <w:separator/>
      </w:r>
    </w:p>
  </w:endnote>
  <w:endnote w:type="continuationSeparator" w:id="0">
    <w:p w14:paraId="325F6D82" w14:textId="77777777" w:rsidR="00A7178C" w:rsidRDefault="00A7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ED50" w14:textId="77777777" w:rsidR="00A7178C" w:rsidRDefault="00A7178C">
      <w:pPr>
        <w:spacing w:after="0" w:line="240" w:lineRule="auto"/>
      </w:pPr>
      <w:r>
        <w:separator/>
      </w:r>
    </w:p>
  </w:footnote>
  <w:footnote w:type="continuationSeparator" w:id="0">
    <w:p w14:paraId="0F6389FB" w14:textId="77777777" w:rsidR="00A7178C" w:rsidRDefault="00A7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3BA0"/>
    <w:rsid w:val="00004DDB"/>
    <w:rsid w:val="00007195"/>
    <w:rsid w:val="00010348"/>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F2875"/>
    <w:rsid w:val="000F3794"/>
    <w:rsid w:val="00101847"/>
    <w:rsid w:val="00105947"/>
    <w:rsid w:val="00106037"/>
    <w:rsid w:val="00106AC4"/>
    <w:rsid w:val="00107A0A"/>
    <w:rsid w:val="00117BAF"/>
    <w:rsid w:val="00131D8F"/>
    <w:rsid w:val="00133A94"/>
    <w:rsid w:val="00143D98"/>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4899"/>
    <w:rsid w:val="00245BE7"/>
    <w:rsid w:val="0024602B"/>
    <w:rsid w:val="00246496"/>
    <w:rsid w:val="00257C3C"/>
    <w:rsid w:val="00264B4F"/>
    <w:rsid w:val="0027141B"/>
    <w:rsid w:val="0027473E"/>
    <w:rsid w:val="002908EE"/>
    <w:rsid w:val="002A2C32"/>
    <w:rsid w:val="002B587E"/>
    <w:rsid w:val="002D6811"/>
    <w:rsid w:val="002E545C"/>
    <w:rsid w:val="002E63BE"/>
    <w:rsid w:val="002E6BA4"/>
    <w:rsid w:val="002F72DF"/>
    <w:rsid w:val="00301812"/>
    <w:rsid w:val="00302D22"/>
    <w:rsid w:val="00313A6F"/>
    <w:rsid w:val="00313D79"/>
    <w:rsid w:val="003172FC"/>
    <w:rsid w:val="00321C83"/>
    <w:rsid w:val="00323326"/>
    <w:rsid w:val="003240B0"/>
    <w:rsid w:val="00326CD5"/>
    <w:rsid w:val="00326F15"/>
    <w:rsid w:val="00332A18"/>
    <w:rsid w:val="00336305"/>
    <w:rsid w:val="0033776B"/>
    <w:rsid w:val="00340825"/>
    <w:rsid w:val="0034181E"/>
    <w:rsid w:val="003435B4"/>
    <w:rsid w:val="0034372A"/>
    <w:rsid w:val="0036023D"/>
    <w:rsid w:val="00363B02"/>
    <w:rsid w:val="0036557C"/>
    <w:rsid w:val="0036706C"/>
    <w:rsid w:val="003716B1"/>
    <w:rsid w:val="00381069"/>
    <w:rsid w:val="00383149"/>
    <w:rsid w:val="00386B4C"/>
    <w:rsid w:val="00390ADF"/>
    <w:rsid w:val="00395B53"/>
    <w:rsid w:val="003A1DFC"/>
    <w:rsid w:val="003A525B"/>
    <w:rsid w:val="003A6805"/>
    <w:rsid w:val="003A69F1"/>
    <w:rsid w:val="003B1225"/>
    <w:rsid w:val="003B37F5"/>
    <w:rsid w:val="003B3D34"/>
    <w:rsid w:val="003B4C52"/>
    <w:rsid w:val="003B7A13"/>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6147D"/>
    <w:rsid w:val="004758AB"/>
    <w:rsid w:val="00481699"/>
    <w:rsid w:val="00486F4B"/>
    <w:rsid w:val="0049109B"/>
    <w:rsid w:val="00493B69"/>
    <w:rsid w:val="004A56F4"/>
    <w:rsid w:val="004A6480"/>
    <w:rsid w:val="004B0612"/>
    <w:rsid w:val="004C008A"/>
    <w:rsid w:val="004C0101"/>
    <w:rsid w:val="004C3331"/>
    <w:rsid w:val="004C788F"/>
    <w:rsid w:val="004F34A2"/>
    <w:rsid w:val="00503B37"/>
    <w:rsid w:val="005057B3"/>
    <w:rsid w:val="00512C21"/>
    <w:rsid w:val="00520479"/>
    <w:rsid w:val="0052517F"/>
    <w:rsid w:val="00530347"/>
    <w:rsid w:val="00532407"/>
    <w:rsid w:val="00532C37"/>
    <w:rsid w:val="00536943"/>
    <w:rsid w:val="00540EC1"/>
    <w:rsid w:val="005432AF"/>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02C2"/>
    <w:rsid w:val="00692521"/>
    <w:rsid w:val="0069383A"/>
    <w:rsid w:val="00693EBA"/>
    <w:rsid w:val="006946A8"/>
    <w:rsid w:val="006A1770"/>
    <w:rsid w:val="006A6792"/>
    <w:rsid w:val="006A72BA"/>
    <w:rsid w:val="006B1EB7"/>
    <w:rsid w:val="006B30C6"/>
    <w:rsid w:val="006B481B"/>
    <w:rsid w:val="006B57C0"/>
    <w:rsid w:val="006B5A69"/>
    <w:rsid w:val="006B65DB"/>
    <w:rsid w:val="006B684F"/>
    <w:rsid w:val="006C7217"/>
    <w:rsid w:val="006D0971"/>
    <w:rsid w:val="006D3D80"/>
    <w:rsid w:val="006D4B71"/>
    <w:rsid w:val="006E0029"/>
    <w:rsid w:val="006E6B41"/>
    <w:rsid w:val="006F172B"/>
    <w:rsid w:val="006F182B"/>
    <w:rsid w:val="006F4E39"/>
    <w:rsid w:val="006F4E9F"/>
    <w:rsid w:val="006F59FB"/>
    <w:rsid w:val="00700390"/>
    <w:rsid w:val="007004AE"/>
    <w:rsid w:val="00736F30"/>
    <w:rsid w:val="00745404"/>
    <w:rsid w:val="007563D4"/>
    <w:rsid w:val="0076139A"/>
    <w:rsid w:val="0076252D"/>
    <w:rsid w:val="00765D04"/>
    <w:rsid w:val="00766B32"/>
    <w:rsid w:val="00766C39"/>
    <w:rsid w:val="00767C37"/>
    <w:rsid w:val="00777A5D"/>
    <w:rsid w:val="0078088B"/>
    <w:rsid w:val="00784776"/>
    <w:rsid w:val="00785781"/>
    <w:rsid w:val="00785D73"/>
    <w:rsid w:val="0079561D"/>
    <w:rsid w:val="00796AA7"/>
    <w:rsid w:val="007A373E"/>
    <w:rsid w:val="007A52B3"/>
    <w:rsid w:val="007A7E4E"/>
    <w:rsid w:val="007B1B55"/>
    <w:rsid w:val="007B1D8F"/>
    <w:rsid w:val="007B747D"/>
    <w:rsid w:val="007C3EAA"/>
    <w:rsid w:val="007C4AA9"/>
    <w:rsid w:val="007D21EA"/>
    <w:rsid w:val="007D3B57"/>
    <w:rsid w:val="007D3CAA"/>
    <w:rsid w:val="007D5D00"/>
    <w:rsid w:val="007E0AED"/>
    <w:rsid w:val="007E28DA"/>
    <w:rsid w:val="007F7D06"/>
    <w:rsid w:val="00800159"/>
    <w:rsid w:val="008122E7"/>
    <w:rsid w:val="00816924"/>
    <w:rsid w:val="00827E42"/>
    <w:rsid w:val="008377CB"/>
    <w:rsid w:val="00864665"/>
    <w:rsid w:val="00865010"/>
    <w:rsid w:val="00877C2B"/>
    <w:rsid w:val="0088470B"/>
    <w:rsid w:val="00884967"/>
    <w:rsid w:val="008B33EB"/>
    <w:rsid w:val="008B76AD"/>
    <w:rsid w:val="008C2C2F"/>
    <w:rsid w:val="008C3F5C"/>
    <w:rsid w:val="008C4084"/>
    <w:rsid w:val="008D0A3F"/>
    <w:rsid w:val="008E1E65"/>
    <w:rsid w:val="008E2A9E"/>
    <w:rsid w:val="008E7AAF"/>
    <w:rsid w:val="008F1553"/>
    <w:rsid w:val="008F1B2A"/>
    <w:rsid w:val="008F489C"/>
    <w:rsid w:val="008F58A8"/>
    <w:rsid w:val="008F64AC"/>
    <w:rsid w:val="008F797C"/>
    <w:rsid w:val="0090075F"/>
    <w:rsid w:val="00901060"/>
    <w:rsid w:val="00914089"/>
    <w:rsid w:val="009342AB"/>
    <w:rsid w:val="00936BE9"/>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D1CC2"/>
    <w:rsid w:val="009E2FD5"/>
    <w:rsid w:val="009E4AFE"/>
    <w:rsid w:val="009F14DC"/>
    <w:rsid w:val="009F6521"/>
    <w:rsid w:val="00A001A5"/>
    <w:rsid w:val="00A035E6"/>
    <w:rsid w:val="00A043E9"/>
    <w:rsid w:val="00A057A8"/>
    <w:rsid w:val="00A1191F"/>
    <w:rsid w:val="00A15B60"/>
    <w:rsid w:val="00A26AED"/>
    <w:rsid w:val="00A309B6"/>
    <w:rsid w:val="00A33A85"/>
    <w:rsid w:val="00A438E3"/>
    <w:rsid w:val="00A453C4"/>
    <w:rsid w:val="00A465CE"/>
    <w:rsid w:val="00A5018A"/>
    <w:rsid w:val="00A5046A"/>
    <w:rsid w:val="00A574EB"/>
    <w:rsid w:val="00A60E38"/>
    <w:rsid w:val="00A64323"/>
    <w:rsid w:val="00A65A51"/>
    <w:rsid w:val="00A7178C"/>
    <w:rsid w:val="00A723F8"/>
    <w:rsid w:val="00A75A9B"/>
    <w:rsid w:val="00A76DCB"/>
    <w:rsid w:val="00A816F4"/>
    <w:rsid w:val="00A8473B"/>
    <w:rsid w:val="00AA302E"/>
    <w:rsid w:val="00AB1807"/>
    <w:rsid w:val="00AC0AE3"/>
    <w:rsid w:val="00AC5090"/>
    <w:rsid w:val="00AD785C"/>
    <w:rsid w:val="00AE6151"/>
    <w:rsid w:val="00B06065"/>
    <w:rsid w:val="00B06321"/>
    <w:rsid w:val="00B11B22"/>
    <w:rsid w:val="00B128D5"/>
    <w:rsid w:val="00B217D6"/>
    <w:rsid w:val="00B239C8"/>
    <w:rsid w:val="00B2587A"/>
    <w:rsid w:val="00B25DB6"/>
    <w:rsid w:val="00B36AB3"/>
    <w:rsid w:val="00B37AA8"/>
    <w:rsid w:val="00B408C2"/>
    <w:rsid w:val="00B423B7"/>
    <w:rsid w:val="00B50C6C"/>
    <w:rsid w:val="00B51435"/>
    <w:rsid w:val="00B55EE1"/>
    <w:rsid w:val="00B8023C"/>
    <w:rsid w:val="00B92666"/>
    <w:rsid w:val="00B957AE"/>
    <w:rsid w:val="00BA0C3B"/>
    <w:rsid w:val="00BA2083"/>
    <w:rsid w:val="00BA2D2F"/>
    <w:rsid w:val="00BA351F"/>
    <w:rsid w:val="00BA4BBE"/>
    <w:rsid w:val="00BB2B93"/>
    <w:rsid w:val="00BC00F2"/>
    <w:rsid w:val="00BC1C78"/>
    <w:rsid w:val="00BD346E"/>
    <w:rsid w:val="00BD6F0E"/>
    <w:rsid w:val="00BE2993"/>
    <w:rsid w:val="00BF4D0E"/>
    <w:rsid w:val="00BF7710"/>
    <w:rsid w:val="00C05171"/>
    <w:rsid w:val="00C06204"/>
    <w:rsid w:val="00C23FAB"/>
    <w:rsid w:val="00C27775"/>
    <w:rsid w:val="00C438DF"/>
    <w:rsid w:val="00C475D0"/>
    <w:rsid w:val="00C47FF4"/>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1CA8"/>
    <w:rsid w:val="00D82BB9"/>
    <w:rsid w:val="00DB7FE6"/>
    <w:rsid w:val="00DC5B6A"/>
    <w:rsid w:val="00DD6736"/>
    <w:rsid w:val="00DE05D5"/>
    <w:rsid w:val="00DE1250"/>
    <w:rsid w:val="00DF069A"/>
    <w:rsid w:val="00DF203B"/>
    <w:rsid w:val="00DF4BF0"/>
    <w:rsid w:val="00E11C03"/>
    <w:rsid w:val="00E16CB3"/>
    <w:rsid w:val="00E20339"/>
    <w:rsid w:val="00E35775"/>
    <w:rsid w:val="00E360ED"/>
    <w:rsid w:val="00E41C2E"/>
    <w:rsid w:val="00E4259A"/>
    <w:rsid w:val="00E52EC4"/>
    <w:rsid w:val="00E54D1D"/>
    <w:rsid w:val="00E55187"/>
    <w:rsid w:val="00E66B0D"/>
    <w:rsid w:val="00E71745"/>
    <w:rsid w:val="00E7188B"/>
    <w:rsid w:val="00E74199"/>
    <w:rsid w:val="00E95AFF"/>
    <w:rsid w:val="00EA113A"/>
    <w:rsid w:val="00EA118A"/>
    <w:rsid w:val="00EB49E8"/>
    <w:rsid w:val="00EB4ABB"/>
    <w:rsid w:val="00EB59AE"/>
    <w:rsid w:val="00EC62A5"/>
    <w:rsid w:val="00EE2964"/>
    <w:rsid w:val="00EE3744"/>
    <w:rsid w:val="00EE7374"/>
    <w:rsid w:val="00EF242E"/>
    <w:rsid w:val="00F00764"/>
    <w:rsid w:val="00F20C07"/>
    <w:rsid w:val="00F24CC7"/>
    <w:rsid w:val="00F30676"/>
    <w:rsid w:val="00F30A63"/>
    <w:rsid w:val="00F357BB"/>
    <w:rsid w:val="00F373B2"/>
    <w:rsid w:val="00F45362"/>
    <w:rsid w:val="00F50FA9"/>
    <w:rsid w:val="00F576D6"/>
    <w:rsid w:val="00F57B70"/>
    <w:rsid w:val="00F72B60"/>
    <w:rsid w:val="00F74BD5"/>
    <w:rsid w:val="00F77DDA"/>
    <w:rsid w:val="00F806E8"/>
    <w:rsid w:val="00F84796"/>
    <w:rsid w:val="00F84C0D"/>
    <w:rsid w:val="00F8731F"/>
    <w:rsid w:val="00FA1716"/>
    <w:rsid w:val="00FA6D8B"/>
    <w:rsid w:val="00FB2EA5"/>
    <w:rsid w:val="00FB55F4"/>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E11C0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qaqualifica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754</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Qualification Title: </vt:lpstr>
      <vt:lpstr>GQA-PAA\VQ-SET Level 3 NVQ Diploma in  Polymer Manufacturing Technologies </vt:lpstr>
      <vt:lpstr>Qualification Number: 603/2792/3</vt:lpstr>
      <vt:lpstr>Qualification Specification  </vt:lpstr>
      <vt:lpstr>Who is this qualification for? </vt:lpstr>
      <vt:lpstr>Entry requirements </vt:lpstr>
      <vt:lpstr>Qualification support </vt:lpstr>
      <vt:lpstr>Regulatory information </vt:lpstr>
      <vt:lpstr>Further information </vt:lpstr>
      <vt:lpstr>Qualification achievement </vt:lpstr>
      <vt:lpstr>Qualification Structure</vt:lpstr>
      <vt:lpstr>Assessment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dcterms:created xsi:type="dcterms:W3CDTF">2021-08-19T10:44:00Z</dcterms:created>
  <dcterms:modified xsi:type="dcterms:W3CDTF">2021-08-19T10:47:00Z</dcterms:modified>
</cp:coreProperties>
</file>