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56BF" w14:textId="30F48A17" w:rsidR="001C7890" w:rsidRDefault="00C438DF" w:rsidP="00107A0A">
      <w:pPr>
        <w:pStyle w:val="Heading"/>
      </w:pPr>
      <w:r>
        <w:t xml:space="preserve">Qualification </w:t>
      </w:r>
      <w:r w:rsidR="0027141B">
        <w:t>T</w:t>
      </w:r>
      <w:r>
        <w:t xml:space="preserve">itle: </w:t>
      </w:r>
      <w:r w:rsidR="00FA1716" w:rsidRPr="00FA1716">
        <w:t>GQA NVQ Level 2 Diploma In Floorcovering Occupations (Construction)</w:t>
      </w:r>
    </w:p>
    <w:p w14:paraId="73D30DF5" w14:textId="5C78132B" w:rsidR="00EE3744" w:rsidRDefault="0027141B" w:rsidP="003A1DFC">
      <w:pPr>
        <w:pStyle w:val="Heading"/>
      </w:pPr>
      <w:r w:rsidRPr="0027141B">
        <w:t>Qualification Number</w:t>
      </w:r>
      <w:r w:rsidR="00C438DF">
        <w:t xml:space="preserve">: </w:t>
      </w:r>
      <w:r w:rsidR="006902C2" w:rsidRPr="006902C2">
        <w:t>603/5285/1</w:t>
      </w:r>
    </w:p>
    <w:p w14:paraId="68EC52E2" w14:textId="13A47A7F" w:rsidR="005A379A" w:rsidRDefault="005A379A" w:rsidP="003A1DFC">
      <w:pPr>
        <w:pStyle w:val="Heading"/>
      </w:pPr>
      <w:r>
        <w:t xml:space="preserve">Welsh Qualification Number: </w:t>
      </w:r>
      <w:r w:rsidR="00010348" w:rsidRPr="00010348">
        <w:t>C00</w:t>
      </w:r>
      <w:r w:rsidR="00010348">
        <w:t>/</w:t>
      </w:r>
      <w:r w:rsidR="00010348" w:rsidRPr="00010348">
        <w:t>3981</w:t>
      </w:r>
      <w:r w:rsidR="00010348">
        <w:t>/</w:t>
      </w:r>
      <w:r w:rsidR="00010348" w:rsidRPr="00010348">
        <w:t>8</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36A28E7" w14:textId="24275E01" w:rsidR="006B65DB" w:rsidRDefault="00C47FF4" w:rsidP="006B65DB">
      <w:pPr>
        <w:pStyle w:val="mainbody"/>
      </w:pPr>
      <w:r w:rsidRPr="00C47FF4">
        <w:t>This is a work-based learning qualification for those involved in laying floorcoverings in a Construction related working environment. Although many of the skills and knowledge across floorcovering occupations are generic, not all those employed to fit floorcoverings will be fitting the same product. The group of optional units will allow specialisms of timber based, textile and resilient floorcoverings.</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7781B3BD"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5F244749" w:rsidR="00530347" w:rsidRDefault="00F576D6" w:rsidP="00961063">
            <w:pPr>
              <w:pStyle w:val="mainbody"/>
            </w:pPr>
            <w:r w:rsidRPr="00F576D6">
              <w:t>19-Nov-2019</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77F7D977" w:rsidR="00530347" w:rsidRDefault="0079561D" w:rsidP="00326F15">
            <w:pPr>
              <w:pStyle w:val="mainbody"/>
            </w:pPr>
            <w:r>
              <w:t>31</w:t>
            </w:r>
            <w:r w:rsidRPr="0079561D">
              <w:t>-</w:t>
            </w:r>
            <w:r>
              <w:t>Dec</w:t>
            </w:r>
            <w:r w:rsidRPr="0079561D">
              <w:t>-201</w:t>
            </w:r>
            <w:r>
              <w:t>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5439DD1E"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D27896">
        <w:rPr>
          <w:rFonts w:eastAsia="Calibri"/>
        </w:rPr>
        <w:t xml:space="preserve">12 O’clock Court </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8ED0228" w14:textId="4B411E34" w:rsidR="00652C1F" w:rsidRDefault="0036706C" w:rsidP="0036706C">
      <w:pPr>
        <w:pStyle w:val="mainbody"/>
      </w:pPr>
      <w:r>
        <w:t xml:space="preserve">Candidates must complete all </w:t>
      </w:r>
      <w:r w:rsidR="00736F30">
        <w:t>9</w:t>
      </w:r>
      <w:r>
        <w:t xml:space="preserve"> mandatory units and also achieve a minimum of </w:t>
      </w:r>
      <w:r w:rsidR="00313D79">
        <w:t>18</w:t>
      </w:r>
      <w:r>
        <w:t xml:space="preserve"> credits from the optional group.</w:t>
      </w:r>
      <w:r w:rsidR="0046147D">
        <w:t xml:space="preserve">  </w:t>
      </w:r>
      <w:r w:rsidR="0046147D" w:rsidRPr="0046147D">
        <w:t>The minimum credit value of this qualification is 127 credits.</w:t>
      </w:r>
    </w:p>
    <w:p w14:paraId="5E58EF87" w14:textId="77777777" w:rsidR="0036706C" w:rsidRDefault="0036706C" w:rsidP="0036706C">
      <w:pPr>
        <w:pStyle w:val="mainbody"/>
      </w:pPr>
    </w:p>
    <w:p w14:paraId="3932B0A8" w14:textId="75443545"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r w:rsidR="00D27896">
        <w:t xml:space="preserve">The TQT for this qualification is 1270. </w:t>
      </w:r>
    </w:p>
    <w:p w14:paraId="68AFE8DB" w14:textId="42090AEF" w:rsidR="008E7AAF" w:rsidRDefault="00D27896" w:rsidP="00326F15">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GLH for this qualification is </w:t>
      </w:r>
      <w:r>
        <w:t>543.</w:t>
      </w: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2DB6A187" w:rsidR="00CE2E2E" w:rsidRDefault="00CE2E2E">
      <w:pPr>
        <w:spacing w:after="160"/>
        <w:ind w:left="0" w:firstLine="0"/>
        <w:jc w:val="left"/>
        <w:rPr>
          <w:rFonts w:asciiTheme="minorHAnsi" w:hAnsiTheme="minorHAnsi" w:cs="Calibri"/>
          <w:b/>
          <w:noProof/>
          <w:color w:val="00B050"/>
          <w:sz w:val="24"/>
          <w:szCs w:val="28"/>
        </w:rPr>
      </w:pPr>
    </w:p>
    <w:p w14:paraId="525F81EC" w14:textId="35081852" w:rsidR="008F6A71" w:rsidRDefault="008F6A71">
      <w:pPr>
        <w:spacing w:after="160"/>
        <w:ind w:left="0" w:firstLine="0"/>
        <w:jc w:val="left"/>
        <w:rPr>
          <w:rFonts w:asciiTheme="minorHAnsi" w:hAnsiTheme="minorHAnsi" w:cs="Calibri"/>
          <w:b/>
          <w:noProof/>
          <w:color w:val="00B050"/>
          <w:sz w:val="24"/>
          <w:szCs w:val="28"/>
        </w:rPr>
      </w:pPr>
    </w:p>
    <w:p w14:paraId="1299D69C" w14:textId="32CAE9D3" w:rsidR="008F6A71" w:rsidRDefault="008F6A71">
      <w:pPr>
        <w:spacing w:after="160"/>
        <w:ind w:left="0" w:firstLine="0"/>
        <w:jc w:val="left"/>
        <w:rPr>
          <w:rFonts w:asciiTheme="minorHAnsi" w:hAnsiTheme="minorHAnsi" w:cs="Calibri"/>
          <w:b/>
          <w:noProof/>
          <w:color w:val="00B050"/>
          <w:sz w:val="24"/>
          <w:szCs w:val="28"/>
        </w:rPr>
      </w:pPr>
    </w:p>
    <w:p w14:paraId="2D79249C" w14:textId="1B7E5029" w:rsidR="008F6A71" w:rsidRDefault="008F6A71">
      <w:pPr>
        <w:spacing w:after="160"/>
        <w:ind w:left="0" w:firstLine="0"/>
        <w:jc w:val="left"/>
        <w:rPr>
          <w:rFonts w:asciiTheme="minorHAnsi" w:hAnsiTheme="minorHAnsi" w:cs="Calibri"/>
          <w:b/>
          <w:noProof/>
          <w:color w:val="00B050"/>
          <w:sz w:val="24"/>
          <w:szCs w:val="28"/>
        </w:rPr>
      </w:pPr>
    </w:p>
    <w:p w14:paraId="57D6066A" w14:textId="77777777" w:rsidR="008F6A71" w:rsidRDefault="008F6A71">
      <w:pPr>
        <w:spacing w:after="160"/>
        <w:ind w:left="0" w:firstLine="0"/>
        <w:jc w:val="left"/>
        <w:rPr>
          <w:rFonts w:asciiTheme="minorHAnsi" w:hAnsiTheme="minorHAnsi" w:cs="Calibri"/>
          <w:b/>
          <w:noProof/>
          <w:color w:val="00B050"/>
          <w:sz w:val="24"/>
          <w:szCs w:val="28"/>
        </w:rPr>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3685"/>
        <w:gridCol w:w="851"/>
        <w:gridCol w:w="992"/>
        <w:gridCol w:w="850"/>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4"/>
            <w:shd w:val="clear" w:color="auto" w:fill="auto"/>
            <w:vAlign w:val="center"/>
          </w:tcPr>
          <w:p w14:paraId="4555FE9B" w14:textId="5A74A90B" w:rsidR="00093096" w:rsidRPr="00551E56" w:rsidRDefault="0046147D" w:rsidP="0046147D">
            <w:pPr>
              <w:pStyle w:val="mainbody"/>
              <w:spacing w:line="240" w:lineRule="auto"/>
              <w:rPr>
                <w:color w:val="000000" w:themeColor="text1"/>
              </w:rPr>
            </w:pPr>
            <w:r w:rsidRPr="0046147D">
              <w:rPr>
                <w:color w:val="000000" w:themeColor="text1"/>
              </w:rPr>
              <w:t xml:space="preserve">GQA NVQ Level 2 Diploma In Floorcovering Occupations (Construction) </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4"/>
            <w:shd w:val="clear" w:color="auto" w:fill="auto"/>
            <w:vAlign w:val="center"/>
          </w:tcPr>
          <w:p w14:paraId="4040859E" w14:textId="047E7AA2" w:rsidR="00093096" w:rsidRPr="00551E56" w:rsidRDefault="0046147D" w:rsidP="002369F6">
            <w:pPr>
              <w:pStyle w:val="mainbody"/>
              <w:spacing w:line="240" w:lineRule="auto"/>
              <w:rPr>
                <w:color w:val="000000" w:themeColor="text1"/>
              </w:rPr>
            </w:pPr>
            <w:r w:rsidRPr="0046147D">
              <w:rPr>
                <w:color w:val="000000" w:themeColor="text1"/>
              </w:rPr>
              <w:t>603/5285/1</w:t>
            </w:r>
          </w:p>
        </w:tc>
      </w:tr>
      <w:tr w:rsidR="00CB0FAA" w:rsidRPr="00551E56" w14:paraId="183F5E4B" w14:textId="77777777" w:rsidTr="002369F6">
        <w:trPr>
          <w:trHeight w:val="443"/>
        </w:trPr>
        <w:tc>
          <w:tcPr>
            <w:tcW w:w="3256" w:type="dxa"/>
            <w:gridSpan w:val="2"/>
            <w:shd w:val="clear" w:color="auto" w:fill="auto"/>
            <w:vAlign w:val="center"/>
          </w:tcPr>
          <w:p w14:paraId="215CAB5C" w14:textId="43B80B97" w:rsidR="00CB0FAA" w:rsidRPr="00551E56" w:rsidRDefault="00CB0FAA" w:rsidP="002369F6">
            <w:pPr>
              <w:pStyle w:val="mainbody"/>
              <w:spacing w:line="240" w:lineRule="auto"/>
              <w:rPr>
                <w:b/>
                <w:bCs/>
                <w:color w:val="000000" w:themeColor="text1"/>
              </w:rPr>
            </w:pPr>
            <w:r w:rsidRPr="00CB0FAA">
              <w:rPr>
                <w:b/>
                <w:bCs/>
                <w:color w:val="000000" w:themeColor="text1"/>
              </w:rPr>
              <w:t>Welsh Qualification Number:</w:t>
            </w:r>
          </w:p>
        </w:tc>
        <w:tc>
          <w:tcPr>
            <w:tcW w:w="6378" w:type="dxa"/>
            <w:gridSpan w:val="4"/>
            <w:shd w:val="clear" w:color="auto" w:fill="auto"/>
            <w:vAlign w:val="center"/>
          </w:tcPr>
          <w:p w14:paraId="7B26BD76" w14:textId="422979A0" w:rsidR="00CB0FAA" w:rsidRPr="00551E56" w:rsidRDefault="0046147D" w:rsidP="002369F6">
            <w:pPr>
              <w:pStyle w:val="mainbody"/>
              <w:spacing w:line="240" w:lineRule="auto"/>
              <w:rPr>
                <w:color w:val="000000" w:themeColor="text1"/>
              </w:rPr>
            </w:pPr>
            <w:r w:rsidRPr="0046147D">
              <w:rPr>
                <w:color w:val="000000" w:themeColor="text1"/>
              </w:rPr>
              <w:t>C00/3981/8</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4"/>
            <w:shd w:val="clear" w:color="auto" w:fill="auto"/>
            <w:vAlign w:val="center"/>
          </w:tcPr>
          <w:p w14:paraId="4226EF40" w14:textId="128531EA" w:rsidR="00093096" w:rsidRPr="00551E56" w:rsidRDefault="00D81CA8" w:rsidP="002369F6">
            <w:pPr>
              <w:pStyle w:val="mainbody"/>
              <w:spacing w:line="240" w:lineRule="auto"/>
              <w:rPr>
                <w:color w:val="000000" w:themeColor="text1"/>
              </w:rPr>
            </w:pPr>
            <w:r>
              <w:rPr>
                <w:color w:val="000000" w:themeColor="text1"/>
              </w:rPr>
              <w:t>127</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4"/>
            <w:shd w:val="clear" w:color="auto" w:fill="auto"/>
            <w:vAlign w:val="center"/>
          </w:tcPr>
          <w:p w14:paraId="535F804D" w14:textId="44635549" w:rsidR="00093096" w:rsidRPr="00551E56" w:rsidRDefault="00B25DB6" w:rsidP="002369F6">
            <w:pPr>
              <w:pStyle w:val="mainbody"/>
              <w:spacing w:line="240" w:lineRule="auto"/>
              <w:rPr>
                <w:color w:val="000000" w:themeColor="text1"/>
              </w:rPr>
            </w:pPr>
            <w:r>
              <w:rPr>
                <w:color w:val="000000" w:themeColor="text1"/>
              </w:rPr>
              <w:t>1270</w:t>
            </w:r>
          </w:p>
        </w:tc>
      </w:tr>
      <w:tr w:rsidR="00093096" w:rsidRPr="00551E56" w14:paraId="4D2E448B" w14:textId="77777777" w:rsidTr="002369F6">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4"/>
            <w:shd w:val="clear" w:color="auto" w:fill="auto"/>
            <w:vAlign w:val="center"/>
          </w:tcPr>
          <w:p w14:paraId="60B2FA04" w14:textId="09CFBAD7" w:rsidR="00093096" w:rsidRPr="00551E56" w:rsidRDefault="00B25DB6" w:rsidP="002369F6">
            <w:pPr>
              <w:pStyle w:val="mainbody"/>
              <w:spacing w:line="240" w:lineRule="auto"/>
              <w:rPr>
                <w:color w:val="000000" w:themeColor="text1"/>
              </w:rPr>
            </w:pPr>
            <w:r>
              <w:rPr>
                <w:color w:val="000000" w:themeColor="text1"/>
              </w:rPr>
              <w:t>543</w:t>
            </w:r>
          </w:p>
        </w:tc>
      </w:tr>
      <w:tr w:rsidR="00093096" w:rsidRPr="00551E56" w14:paraId="738630DA" w14:textId="77777777" w:rsidTr="002369F6">
        <w:trPr>
          <w:trHeight w:val="737"/>
        </w:trPr>
        <w:tc>
          <w:tcPr>
            <w:tcW w:w="9634" w:type="dxa"/>
            <w:gridSpan w:val="6"/>
            <w:shd w:val="clear" w:color="auto" w:fill="auto"/>
            <w:vAlign w:val="center"/>
          </w:tcPr>
          <w:p w14:paraId="03086137" w14:textId="0A4ED932" w:rsidR="00093096" w:rsidRPr="007D3CAA" w:rsidRDefault="0046147D" w:rsidP="006D3D80">
            <w:pPr>
              <w:pStyle w:val="mainbody"/>
              <w:spacing w:line="240" w:lineRule="auto"/>
              <w:jc w:val="left"/>
              <w:rPr>
                <w:color w:val="000000" w:themeColor="text1"/>
              </w:rPr>
            </w:pPr>
            <w:r w:rsidRPr="0046147D">
              <w:rPr>
                <w:color w:val="000000" w:themeColor="text1"/>
              </w:rPr>
              <w:t>Candidates must complete all 9 mandatory units and also achieve a minimum of 18 credits from the optional group.  The minimum credit value of this qualification is 127 credits.</w:t>
            </w:r>
          </w:p>
        </w:tc>
      </w:tr>
      <w:tr w:rsidR="00093096" w:rsidRPr="00551E56" w14:paraId="37DD148B" w14:textId="77777777" w:rsidTr="002369F6">
        <w:trPr>
          <w:trHeight w:val="454"/>
        </w:trPr>
        <w:tc>
          <w:tcPr>
            <w:tcW w:w="1413" w:type="dxa"/>
            <w:shd w:val="clear" w:color="auto" w:fill="auto"/>
            <w:vAlign w:val="center"/>
          </w:tcPr>
          <w:p w14:paraId="7E0D0C09" w14:textId="77777777" w:rsidR="00093096" w:rsidRPr="00551E56" w:rsidRDefault="00093096"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528" w:type="dxa"/>
            <w:gridSpan w:val="2"/>
            <w:shd w:val="clear" w:color="auto" w:fill="auto"/>
            <w:vAlign w:val="center"/>
          </w:tcPr>
          <w:p w14:paraId="5593BB51" w14:textId="77777777" w:rsidR="00093096" w:rsidRPr="00551E56" w:rsidRDefault="00093096" w:rsidP="002369F6">
            <w:pPr>
              <w:pStyle w:val="mainbody"/>
              <w:spacing w:line="240" w:lineRule="auto"/>
              <w:jc w:val="left"/>
              <w:rPr>
                <w:b/>
                <w:bCs/>
                <w:color w:val="000000" w:themeColor="text1"/>
              </w:rPr>
            </w:pPr>
            <w:r w:rsidRPr="00551E56">
              <w:rPr>
                <w:b/>
                <w:bCs/>
                <w:color w:val="000000" w:themeColor="text1"/>
              </w:rPr>
              <w:t xml:space="preserve">Title </w:t>
            </w:r>
          </w:p>
        </w:tc>
        <w:tc>
          <w:tcPr>
            <w:tcW w:w="851" w:type="dxa"/>
            <w:shd w:val="clear" w:color="auto" w:fill="auto"/>
            <w:vAlign w:val="center"/>
          </w:tcPr>
          <w:p w14:paraId="1F85EA9E" w14:textId="77777777" w:rsidR="00093096" w:rsidRPr="00551E56" w:rsidRDefault="00093096" w:rsidP="002369F6">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F868138" w14:textId="77777777" w:rsidR="00093096" w:rsidRPr="00551E56" w:rsidRDefault="00093096" w:rsidP="002369F6">
            <w:pPr>
              <w:pStyle w:val="mainbody"/>
              <w:spacing w:line="240" w:lineRule="auto"/>
              <w:jc w:val="center"/>
              <w:rPr>
                <w:b/>
                <w:bCs/>
                <w:color w:val="000000" w:themeColor="text1"/>
              </w:rPr>
            </w:pPr>
            <w:r w:rsidRPr="00551E56">
              <w:rPr>
                <w:b/>
                <w:bCs/>
                <w:color w:val="000000" w:themeColor="text1"/>
              </w:rPr>
              <w:t>Credit</w:t>
            </w:r>
          </w:p>
        </w:tc>
        <w:tc>
          <w:tcPr>
            <w:tcW w:w="850" w:type="dxa"/>
            <w:vAlign w:val="center"/>
          </w:tcPr>
          <w:p w14:paraId="161828AC" w14:textId="77777777" w:rsidR="00093096" w:rsidRPr="00551E56" w:rsidRDefault="00093096" w:rsidP="002369F6">
            <w:pPr>
              <w:pStyle w:val="mainbody"/>
              <w:spacing w:line="240" w:lineRule="auto"/>
              <w:jc w:val="center"/>
              <w:rPr>
                <w:b/>
                <w:bCs/>
                <w:color w:val="000000" w:themeColor="text1"/>
              </w:rPr>
            </w:pPr>
            <w:r>
              <w:rPr>
                <w:b/>
                <w:bCs/>
                <w:color w:val="000000" w:themeColor="text1"/>
              </w:rPr>
              <w:t>GLH</w:t>
            </w:r>
          </w:p>
        </w:tc>
      </w:tr>
      <w:tr w:rsidR="00093096" w:rsidRPr="00901060" w14:paraId="758E49E7" w14:textId="77777777" w:rsidTr="002369F6">
        <w:trPr>
          <w:trHeight w:val="397"/>
        </w:trPr>
        <w:tc>
          <w:tcPr>
            <w:tcW w:w="9634" w:type="dxa"/>
            <w:gridSpan w:val="6"/>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4758AB" w:rsidRPr="003716B1" w14:paraId="1F817E47" w14:textId="77777777" w:rsidTr="00597842">
        <w:trPr>
          <w:trHeight w:val="454"/>
        </w:trPr>
        <w:tc>
          <w:tcPr>
            <w:tcW w:w="1413" w:type="dxa"/>
            <w:shd w:val="clear" w:color="auto" w:fill="auto"/>
          </w:tcPr>
          <w:p w14:paraId="6EB627B0" w14:textId="22B2CE8D" w:rsidR="004758AB" w:rsidRPr="003716B1" w:rsidRDefault="004758AB" w:rsidP="004758AB">
            <w:pPr>
              <w:pStyle w:val="mainbody"/>
              <w:spacing w:line="240" w:lineRule="auto"/>
              <w:jc w:val="left"/>
            </w:pPr>
            <w:r w:rsidRPr="00CE0F63">
              <w:t>A/503/1170</w:t>
            </w:r>
          </w:p>
        </w:tc>
        <w:tc>
          <w:tcPr>
            <w:tcW w:w="5528" w:type="dxa"/>
            <w:gridSpan w:val="2"/>
            <w:shd w:val="clear" w:color="auto" w:fill="auto"/>
          </w:tcPr>
          <w:p w14:paraId="5D1D860B" w14:textId="30D19AA6" w:rsidR="004758AB" w:rsidRPr="003716B1" w:rsidRDefault="004758AB" w:rsidP="004758AB">
            <w:pPr>
              <w:pStyle w:val="mainbody"/>
              <w:spacing w:line="240" w:lineRule="auto"/>
              <w:jc w:val="left"/>
            </w:pPr>
            <w:r w:rsidRPr="00CF3568">
              <w:t>Conforming to General Health, Safety and Welfare in the Workplace</w:t>
            </w:r>
          </w:p>
        </w:tc>
        <w:tc>
          <w:tcPr>
            <w:tcW w:w="851" w:type="dxa"/>
            <w:shd w:val="clear" w:color="auto" w:fill="auto"/>
          </w:tcPr>
          <w:p w14:paraId="50AC3E9E" w14:textId="60BE1E29" w:rsidR="004758AB" w:rsidRPr="003716B1" w:rsidRDefault="004758AB" w:rsidP="004758AB">
            <w:pPr>
              <w:pStyle w:val="mainbody"/>
              <w:spacing w:line="240" w:lineRule="auto"/>
              <w:jc w:val="center"/>
            </w:pPr>
            <w:r w:rsidRPr="001E783E">
              <w:t>1</w:t>
            </w:r>
          </w:p>
        </w:tc>
        <w:tc>
          <w:tcPr>
            <w:tcW w:w="992" w:type="dxa"/>
            <w:shd w:val="clear" w:color="auto" w:fill="auto"/>
          </w:tcPr>
          <w:p w14:paraId="7AEB1F71" w14:textId="789806E6" w:rsidR="004758AB" w:rsidRPr="003716B1" w:rsidRDefault="004758AB" w:rsidP="004758AB">
            <w:pPr>
              <w:pStyle w:val="mainbody"/>
              <w:spacing w:line="240" w:lineRule="auto"/>
              <w:jc w:val="center"/>
            </w:pPr>
            <w:r w:rsidRPr="001E783E">
              <w:t>2</w:t>
            </w:r>
          </w:p>
        </w:tc>
        <w:tc>
          <w:tcPr>
            <w:tcW w:w="850" w:type="dxa"/>
            <w:shd w:val="clear" w:color="auto" w:fill="auto"/>
          </w:tcPr>
          <w:p w14:paraId="29222F68" w14:textId="7B4D96FE" w:rsidR="004758AB" w:rsidRPr="003716B1" w:rsidRDefault="004758AB" w:rsidP="004758AB">
            <w:pPr>
              <w:pStyle w:val="mainbody"/>
              <w:spacing w:line="240" w:lineRule="auto"/>
              <w:jc w:val="center"/>
            </w:pPr>
            <w:r w:rsidRPr="001E783E">
              <w:t>7</w:t>
            </w:r>
          </w:p>
        </w:tc>
      </w:tr>
      <w:tr w:rsidR="004758AB" w:rsidRPr="003716B1" w14:paraId="278450C3" w14:textId="77777777" w:rsidTr="00597842">
        <w:trPr>
          <w:trHeight w:val="454"/>
        </w:trPr>
        <w:tc>
          <w:tcPr>
            <w:tcW w:w="1413" w:type="dxa"/>
            <w:shd w:val="clear" w:color="auto" w:fill="auto"/>
          </w:tcPr>
          <w:p w14:paraId="45D626EF" w14:textId="40AAB856" w:rsidR="004758AB" w:rsidRPr="003716B1" w:rsidRDefault="004758AB" w:rsidP="004758AB">
            <w:pPr>
              <w:pStyle w:val="mainbody"/>
              <w:spacing w:line="240" w:lineRule="auto"/>
              <w:jc w:val="left"/>
            </w:pPr>
            <w:r w:rsidRPr="00CE0F63">
              <w:t>J/503/1169</w:t>
            </w:r>
          </w:p>
        </w:tc>
        <w:tc>
          <w:tcPr>
            <w:tcW w:w="5528" w:type="dxa"/>
            <w:gridSpan w:val="2"/>
            <w:shd w:val="clear" w:color="auto" w:fill="auto"/>
          </w:tcPr>
          <w:p w14:paraId="43A0810E" w14:textId="7426AB9E" w:rsidR="004758AB" w:rsidRPr="003716B1" w:rsidRDefault="004758AB" w:rsidP="004758AB">
            <w:pPr>
              <w:pStyle w:val="mainbody"/>
              <w:spacing w:line="240" w:lineRule="auto"/>
              <w:jc w:val="left"/>
            </w:pPr>
            <w:r w:rsidRPr="00CF3568">
              <w:t>Conforming to Productive Working Practices in the Workplace</w:t>
            </w:r>
          </w:p>
        </w:tc>
        <w:tc>
          <w:tcPr>
            <w:tcW w:w="851" w:type="dxa"/>
            <w:shd w:val="clear" w:color="auto" w:fill="auto"/>
          </w:tcPr>
          <w:p w14:paraId="7F83D4F1" w14:textId="6AA68EC6" w:rsidR="004758AB" w:rsidRPr="003716B1" w:rsidRDefault="004758AB" w:rsidP="004758AB">
            <w:pPr>
              <w:pStyle w:val="mainbody"/>
              <w:spacing w:line="240" w:lineRule="auto"/>
              <w:jc w:val="center"/>
            </w:pPr>
            <w:r w:rsidRPr="001E783E">
              <w:t>2</w:t>
            </w:r>
          </w:p>
        </w:tc>
        <w:tc>
          <w:tcPr>
            <w:tcW w:w="992" w:type="dxa"/>
            <w:shd w:val="clear" w:color="auto" w:fill="auto"/>
          </w:tcPr>
          <w:p w14:paraId="7F8D201A" w14:textId="12C02F8E" w:rsidR="004758AB" w:rsidRPr="003716B1" w:rsidRDefault="004758AB" w:rsidP="004758AB">
            <w:pPr>
              <w:pStyle w:val="mainbody"/>
              <w:spacing w:line="240" w:lineRule="auto"/>
              <w:jc w:val="center"/>
            </w:pPr>
            <w:r w:rsidRPr="001E783E">
              <w:t>3</w:t>
            </w:r>
          </w:p>
        </w:tc>
        <w:tc>
          <w:tcPr>
            <w:tcW w:w="850" w:type="dxa"/>
            <w:shd w:val="clear" w:color="auto" w:fill="auto"/>
          </w:tcPr>
          <w:p w14:paraId="64157DB4" w14:textId="71ED0418" w:rsidR="004758AB" w:rsidRPr="003716B1" w:rsidRDefault="004758AB" w:rsidP="004758AB">
            <w:pPr>
              <w:pStyle w:val="mainbody"/>
              <w:spacing w:line="240" w:lineRule="auto"/>
              <w:jc w:val="center"/>
            </w:pPr>
            <w:r w:rsidRPr="001E783E">
              <w:t>10</w:t>
            </w:r>
          </w:p>
        </w:tc>
      </w:tr>
      <w:tr w:rsidR="004758AB" w:rsidRPr="003716B1" w14:paraId="03898455" w14:textId="77777777" w:rsidTr="00597842">
        <w:trPr>
          <w:trHeight w:val="454"/>
        </w:trPr>
        <w:tc>
          <w:tcPr>
            <w:tcW w:w="1413" w:type="dxa"/>
            <w:shd w:val="clear" w:color="auto" w:fill="auto"/>
          </w:tcPr>
          <w:p w14:paraId="1A1B11AC" w14:textId="706E8F29" w:rsidR="004758AB" w:rsidRPr="003716B1" w:rsidRDefault="004758AB" w:rsidP="004758AB">
            <w:pPr>
              <w:pStyle w:val="mainbody"/>
              <w:spacing w:line="240" w:lineRule="auto"/>
              <w:jc w:val="left"/>
            </w:pPr>
            <w:r w:rsidRPr="00CE0F63">
              <w:t>F/503/1171</w:t>
            </w:r>
          </w:p>
        </w:tc>
        <w:tc>
          <w:tcPr>
            <w:tcW w:w="5528" w:type="dxa"/>
            <w:gridSpan w:val="2"/>
            <w:shd w:val="clear" w:color="auto" w:fill="auto"/>
          </w:tcPr>
          <w:p w14:paraId="1B81BC3E" w14:textId="0A92BA06" w:rsidR="004758AB" w:rsidRPr="003716B1" w:rsidRDefault="004758AB" w:rsidP="004758AB">
            <w:pPr>
              <w:pStyle w:val="mainbody"/>
              <w:spacing w:line="240" w:lineRule="auto"/>
              <w:jc w:val="left"/>
            </w:pPr>
            <w:r w:rsidRPr="00CF3568">
              <w:t>Moving, Handling and Storing Resources in the Workplace</w:t>
            </w:r>
          </w:p>
        </w:tc>
        <w:tc>
          <w:tcPr>
            <w:tcW w:w="851" w:type="dxa"/>
            <w:shd w:val="clear" w:color="auto" w:fill="auto"/>
          </w:tcPr>
          <w:p w14:paraId="5B1F584F" w14:textId="2CC2FEB0" w:rsidR="004758AB" w:rsidRPr="003716B1" w:rsidRDefault="004758AB" w:rsidP="004758AB">
            <w:pPr>
              <w:pStyle w:val="mainbody"/>
              <w:spacing w:line="240" w:lineRule="auto"/>
              <w:jc w:val="center"/>
            </w:pPr>
            <w:r w:rsidRPr="001E783E">
              <w:t>2</w:t>
            </w:r>
          </w:p>
        </w:tc>
        <w:tc>
          <w:tcPr>
            <w:tcW w:w="992" w:type="dxa"/>
            <w:shd w:val="clear" w:color="auto" w:fill="auto"/>
          </w:tcPr>
          <w:p w14:paraId="5C8BBAF8" w14:textId="4FB1640D" w:rsidR="004758AB" w:rsidRPr="003716B1" w:rsidRDefault="004758AB" w:rsidP="004758AB">
            <w:pPr>
              <w:pStyle w:val="mainbody"/>
              <w:spacing w:line="240" w:lineRule="auto"/>
              <w:jc w:val="center"/>
            </w:pPr>
            <w:r w:rsidRPr="001E783E">
              <w:t>5</w:t>
            </w:r>
          </w:p>
        </w:tc>
        <w:tc>
          <w:tcPr>
            <w:tcW w:w="850" w:type="dxa"/>
            <w:shd w:val="clear" w:color="auto" w:fill="auto"/>
          </w:tcPr>
          <w:p w14:paraId="7790A7FD" w14:textId="635836D0" w:rsidR="004758AB" w:rsidRPr="003716B1" w:rsidRDefault="004758AB" w:rsidP="004758AB">
            <w:pPr>
              <w:pStyle w:val="mainbody"/>
              <w:spacing w:line="240" w:lineRule="auto"/>
              <w:jc w:val="center"/>
            </w:pPr>
            <w:r w:rsidRPr="001E783E">
              <w:t>17</w:t>
            </w:r>
          </w:p>
        </w:tc>
      </w:tr>
      <w:tr w:rsidR="004758AB" w:rsidRPr="003716B1" w14:paraId="77B94875" w14:textId="77777777" w:rsidTr="00597842">
        <w:trPr>
          <w:trHeight w:val="397"/>
        </w:trPr>
        <w:tc>
          <w:tcPr>
            <w:tcW w:w="1413" w:type="dxa"/>
            <w:shd w:val="clear" w:color="000000" w:fill="FFFFFF"/>
          </w:tcPr>
          <w:p w14:paraId="4DA66840" w14:textId="5C770284" w:rsidR="004758AB" w:rsidRPr="003716B1" w:rsidRDefault="004758AB" w:rsidP="004758AB">
            <w:pPr>
              <w:pStyle w:val="mainbody"/>
              <w:spacing w:line="240" w:lineRule="auto"/>
              <w:jc w:val="left"/>
            </w:pPr>
            <w:r w:rsidRPr="00CE0F63">
              <w:t>K/617/8823</w:t>
            </w:r>
          </w:p>
        </w:tc>
        <w:tc>
          <w:tcPr>
            <w:tcW w:w="5528" w:type="dxa"/>
            <w:gridSpan w:val="2"/>
            <w:shd w:val="clear" w:color="000000" w:fill="FFFFFF"/>
          </w:tcPr>
          <w:p w14:paraId="03FA4202" w14:textId="39F721C4" w:rsidR="004758AB" w:rsidRPr="003716B1" w:rsidRDefault="004758AB" w:rsidP="004758AB">
            <w:pPr>
              <w:pStyle w:val="mainbody"/>
              <w:spacing w:line="240" w:lineRule="auto"/>
              <w:jc w:val="left"/>
            </w:pPr>
            <w:r w:rsidRPr="00CF3568">
              <w:t>Surface preparation to receive floorcoverings</w:t>
            </w:r>
          </w:p>
        </w:tc>
        <w:tc>
          <w:tcPr>
            <w:tcW w:w="851" w:type="dxa"/>
            <w:shd w:val="clear" w:color="000000" w:fill="FFFFFF"/>
          </w:tcPr>
          <w:p w14:paraId="32C309A3" w14:textId="4A3BBF93" w:rsidR="004758AB" w:rsidRPr="003716B1" w:rsidRDefault="004758AB" w:rsidP="004758AB">
            <w:pPr>
              <w:pStyle w:val="mainbody"/>
              <w:spacing w:line="240" w:lineRule="auto"/>
              <w:jc w:val="center"/>
            </w:pPr>
            <w:r w:rsidRPr="001E783E">
              <w:t>2</w:t>
            </w:r>
          </w:p>
        </w:tc>
        <w:tc>
          <w:tcPr>
            <w:tcW w:w="992" w:type="dxa"/>
            <w:shd w:val="clear" w:color="000000" w:fill="FFFFFF"/>
          </w:tcPr>
          <w:p w14:paraId="7F5593EB" w14:textId="71314776" w:rsidR="004758AB" w:rsidRPr="003716B1" w:rsidRDefault="004758AB" w:rsidP="004758AB">
            <w:pPr>
              <w:pStyle w:val="mainbody"/>
              <w:spacing w:line="240" w:lineRule="auto"/>
              <w:jc w:val="center"/>
            </w:pPr>
            <w:r w:rsidRPr="001E783E">
              <w:t>22</w:t>
            </w:r>
          </w:p>
        </w:tc>
        <w:tc>
          <w:tcPr>
            <w:tcW w:w="850" w:type="dxa"/>
            <w:shd w:val="clear" w:color="auto" w:fill="auto"/>
          </w:tcPr>
          <w:p w14:paraId="1118992F" w14:textId="0A8F6AA3" w:rsidR="004758AB" w:rsidRPr="003716B1" w:rsidRDefault="004758AB" w:rsidP="004758AB">
            <w:pPr>
              <w:pStyle w:val="mainbody"/>
              <w:spacing w:line="240" w:lineRule="auto"/>
              <w:jc w:val="center"/>
            </w:pPr>
            <w:r w:rsidRPr="001E783E">
              <w:t>73</w:t>
            </w:r>
          </w:p>
        </w:tc>
      </w:tr>
      <w:tr w:rsidR="004758AB" w:rsidRPr="003716B1" w14:paraId="76DF2CAC" w14:textId="77777777" w:rsidTr="00597842">
        <w:trPr>
          <w:trHeight w:val="397"/>
        </w:trPr>
        <w:tc>
          <w:tcPr>
            <w:tcW w:w="1413" w:type="dxa"/>
            <w:shd w:val="clear" w:color="000000" w:fill="FFFFFF"/>
          </w:tcPr>
          <w:p w14:paraId="1A1DAD0A" w14:textId="5CA86E13" w:rsidR="004758AB" w:rsidRPr="003716B1" w:rsidRDefault="004758AB" w:rsidP="004758AB">
            <w:pPr>
              <w:pStyle w:val="mainbody"/>
              <w:spacing w:line="240" w:lineRule="auto"/>
              <w:jc w:val="left"/>
            </w:pPr>
            <w:r w:rsidRPr="00CE0F63">
              <w:t>H/617/8822</w:t>
            </w:r>
          </w:p>
        </w:tc>
        <w:tc>
          <w:tcPr>
            <w:tcW w:w="5528" w:type="dxa"/>
            <w:gridSpan w:val="2"/>
            <w:shd w:val="clear" w:color="000000" w:fill="FFFFFF"/>
          </w:tcPr>
          <w:p w14:paraId="7F8407E9" w14:textId="58D72EC6" w:rsidR="004758AB" w:rsidRPr="003716B1" w:rsidRDefault="004758AB" w:rsidP="004758AB">
            <w:pPr>
              <w:pStyle w:val="mainbody"/>
              <w:spacing w:line="240" w:lineRule="auto"/>
              <w:jc w:val="left"/>
            </w:pPr>
            <w:r w:rsidRPr="00CF3568">
              <w:t>Setting out for laying floorcoverings in the workplace</w:t>
            </w:r>
          </w:p>
        </w:tc>
        <w:tc>
          <w:tcPr>
            <w:tcW w:w="851" w:type="dxa"/>
            <w:shd w:val="clear" w:color="000000" w:fill="FFFFFF"/>
          </w:tcPr>
          <w:p w14:paraId="07306717" w14:textId="3AFAB0ED" w:rsidR="004758AB" w:rsidRPr="003716B1" w:rsidRDefault="004758AB" w:rsidP="004758AB">
            <w:pPr>
              <w:pStyle w:val="mainbody"/>
              <w:spacing w:line="240" w:lineRule="auto"/>
              <w:jc w:val="center"/>
            </w:pPr>
            <w:r w:rsidRPr="001E783E">
              <w:t>2</w:t>
            </w:r>
          </w:p>
        </w:tc>
        <w:tc>
          <w:tcPr>
            <w:tcW w:w="992" w:type="dxa"/>
            <w:shd w:val="clear" w:color="000000" w:fill="FFFFFF"/>
          </w:tcPr>
          <w:p w14:paraId="66EF9121" w14:textId="3E625967" w:rsidR="004758AB" w:rsidRPr="003716B1" w:rsidRDefault="004758AB" w:rsidP="004758AB">
            <w:pPr>
              <w:pStyle w:val="mainbody"/>
              <w:spacing w:line="240" w:lineRule="auto"/>
              <w:jc w:val="center"/>
            </w:pPr>
            <w:r w:rsidRPr="001E783E">
              <w:t>19</w:t>
            </w:r>
          </w:p>
        </w:tc>
        <w:tc>
          <w:tcPr>
            <w:tcW w:w="850" w:type="dxa"/>
            <w:shd w:val="clear" w:color="auto" w:fill="auto"/>
          </w:tcPr>
          <w:p w14:paraId="0F9F8C89" w14:textId="5E0C8E12" w:rsidR="004758AB" w:rsidRPr="003716B1" w:rsidRDefault="004758AB" w:rsidP="004758AB">
            <w:pPr>
              <w:pStyle w:val="mainbody"/>
              <w:spacing w:line="240" w:lineRule="auto"/>
              <w:jc w:val="center"/>
            </w:pPr>
            <w:r w:rsidRPr="001E783E">
              <w:t>63</w:t>
            </w:r>
          </w:p>
        </w:tc>
      </w:tr>
      <w:tr w:rsidR="004758AB" w:rsidRPr="003716B1" w14:paraId="27FB81E7" w14:textId="77777777" w:rsidTr="00597842">
        <w:trPr>
          <w:trHeight w:val="397"/>
        </w:trPr>
        <w:tc>
          <w:tcPr>
            <w:tcW w:w="1413" w:type="dxa"/>
            <w:shd w:val="clear" w:color="000000" w:fill="FFFFFF"/>
          </w:tcPr>
          <w:p w14:paraId="4F3EC887" w14:textId="4493ACDD" w:rsidR="004758AB" w:rsidRPr="003716B1" w:rsidRDefault="004758AB" w:rsidP="004758AB">
            <w:pPr>
              <w:pStyle w:val="mainbody"/>
              <w:spacing w:line="240" w:lineRule="auto"/>
              <w:jc w:val="left"/>
            </w:pPr>
            <w:r w:rsidRPr="00CE0F63">
              <w:t>D/617/8821</w:t>
            </w:r>
          </w:p>
        </w:tc>
        <w:tc>
          <w:tcPr>
            <w:tcW w:w="5528" w:type="dxa"/>
            <w:gridSpan w:val="2"/>
            <w:shd w:val="clear" w:color="000000" w:fill="FFFFFF"/>
          </w:tcPr>
          <w:p w14:paraId="369FC55A" w14:textId="522A4236" w:rsidR="004758AB" w:rsidRPr="003716B1" w:rsidRDefault="004758AB" w:rsidP="004758AB">
            <w:pPr>
              <w:pStyle w:val="mainbody"/>
              <w:spacing w:line="240" w:lineRule="auto"/>
              <w:jc w:val="left"/>
            </w:pPr>
            <w:r w:rsidRPr="00CF3568">
              <w:t>Preparing and fitting underlays for floorcoverings in the workplace</w:t>
            </w:r>
          </w:p>
        </w:tc>
        <w:tc>
          <w:tcPr>
            <w:tcW w:w="851" w:type="dxa"/>
            <w:shd w:val="clear" w:color="000000" w:fill="FFFFFF"/>
          </w:tcPr>
          <w:p w14:paraId="2A62CD29" w14:textId="22B33796" w:rsidR="004758AB" w:rsidRPr="003716B1" w:rsidRDefault="004758AB" w:rsidP="004758AB">
            <w:pPr>
              <w:pStyle w:val="mainbody"/>
              <w:spacing w:line="240" w:lineRule="auto"/>
              <w:jc w:val="center"/>
            </w:pPr>
            <w:r w:rsidRPr="001E783E">
              <w:t>2</w:t>
            </w:r>
          </w:p>
        </w:tc>
        <w:tc>
          <w:tcPr>
            <w:tcW w:w="992" w:type="dxa"/>
            <w:shd w:val="clear" w:color="000000" w:fill="FFFFFF"/>
          </w:tcPr>
          <w:p w14:paraId="2B6571F7" w14:textId="5068304F" w:rsidR="004758AB" w:rsidRPr="003716B1" w:rsidRDefault="004758AB" w:rsidP="004758AB">
            <w:pPr>
              <w:pStyle w:val="mainbody"/>
              <w:spacing w:line="240" w:lineRule="auto"/>
              <w:jc w:val="center"/>
            </w:pPr>
            <w:r w:rsidRPr="001E783E">
              <w:t>14</w:t>
            </w:r>
          </w:p>
        </w:tc>
        <w:tc>
          <w:tcPr>
            <w:tcW w:w="850" w:type="dxa"/>
            <w:shd w:val="clear" w:color="auto" w:fill="auto"/>
          </w:tcPr>
          <w:p w14:paraId="6DD1E2ED" w14:textId="48123717" w:rsidR="004758AB" w:rsidRPr="003716B1" w:rsidRDefault="004758AB" w:rsidP="004758AB">
            <w:pPr>
              <w:pStyle w:val="mainbody"/>
              <w:spacing w:line="240" w:lineRule="auto"/>
              <w:jc w:val="center"/>
            </w:pPr>
            <w:r w:rsidRPr="001E783E">
              <w:t>47</w:t>
            </w:r>
          </w:p>
        </w:tc>
      </w:tr>
      <w:tr w:rsidR="004758AB" w:rsidRPr="003716B1" w14:paraId="6CE533A1" w14:textId="77777777" w:rsidTr="00597842">
        <w:trPr>
          <w:trHeight w:val="397"/>
        </w:trPr>
        <w:tc>
          <w:tcPr>
            <w:tcW w:w="1413" w:type="dxa"/>
            <w:shd w:val="clear" w:color="000000" w:fill="FFFFFF"/>
          </w:tcPr>
          <w:p w14:paraId="76B352A8" w14:textId="705B6B94" w:rsidR="004758AB" w:rsidRPr="003716B1" w:rsidRDefault="004758AB" w:rsidP="004758AB">
            <w:pPr>
              <w:pStyle w:val="mainbody"/>
              <w:spacing w:line="240" w:lineRule="auto"/>
              <w:jc w:val="left"/>
            </w:pPr>
            <w:r w:rsidRPr="00CE0F63">
              <w:t>J/617/8828</w:t>
            </w:r>
          </w:p>
        </w:tc>
        <w:tc>
          <w:tcPr>
            <w:tcW w:w="5528" w:type="dxa"/>
            <w:gridSpan w:val="2"/>
            <w:shd w:val="clear" w:color="000000" w:fill="FFFFFF"/>
          </w:tcPr>
          <w:p w14:paraId="5876EBC5" w14:textId="3A3AFB1E" w:rsidR="004758AB" w:rsidRPr="003716B1" w:rsidRDefault="004758AB" w:rsidP="004758AB">
            <w:pPr>
              <w:pStyle w:val="mainbody"/>
              <w:spacing w:line="240" w:lineRule="auto"/>
              <w:jc w:val="left"/>
            </w:pPr>
            <w:r w:rsidRPr="00CF3568">
              <w:t>Develop customer relationships</w:t>
            </w:r>
          </w:p>
        </w:tc>
        <w:tc>
          <w:tcPr>
            <w:tcW w:w="851" w:type="dxa"/>
            <w:shd w:val="clear" w:color="000000" w:fill="FFFFFF"/>
          </w:tcPr>
          <w:p w14:paraId="653FBE67" w14:textId="7DD858E0" w:rsidR="004758AB" w:rsidRPr="003716B1" w:rsidRDefault="004758AB" w:rsidP="004758AB">
            <w:pPr>
              <w:pStyle w:val="mainbody"/>
              <w:spacing w:line="240" w:lineRule="auto"/>
              <w:jc w:val="center"/>
            </w:pPr>
            <w:r w:rsidRPr="001E783E">
              <w:t>2</w:t>
            </w:r>
          </w:p>
        </w:tc>
        <w:tc>
          <w:tcPr>
            <w:tcW w:w="992" w:type="dxa"/>
            <w:shd w:val="clear" w:color="000000" w:fill="FFFFFF"/>
          </w:tcPr>
          <w:p w14:paraId="59786D74" w14:textId="6FD67C50" w:rsidR="004758AB" w:rsidRPr="003716B1" w:rsidRDefault="004758AB" w:rsidP="004758AB">
            <w:pPr>
              <w:pStyle w:val="mainbody"/>
              <w:spacing w:line="240" w:lineRule="auto"/>
              <w:jc w:val="center"/>
            </w:pPr>
            <w:r w:rsidRPr="001E783E">
              <w:t>6</w:t>
            </w:r>
          </w:p>
        </w:tc>
        <w:tc>
          <w:tcPr>
            <w:tcW w:w="850" w:type="dxa"/>
            <w:shd w:val="clear" w:color="auto" w:fill="auto"/>
          </w:tcPr>
          <w:p w14:paraId="7C0BD487" w14:textId="126BFB7B" w:rsidR="004758AB" w:rsidRPr="003716B1" w:rsidRDefault="004758AB" w:rsidP="004758AB">
            <w:pPr>
              <w:pStyle w:val="mainbody"/>
              <w:spacing w:line="240" w:lineRule="auto"/>
              <w:jc w:val="center"/>
            </w:pPr>
            <w:r w:rsidRPr="001E783E">
              <w:t>40</w:t>
            </w:r>
          </w:p>
        </w:tc>
      </w:tr>
      <w:tr w:rsidR="004758AB" w:rsidRPr="003716B1" w14:paraId="2264E4D4" w14:textId="77777777" w:rsidTr="00597842">
        <w:trPr>
          <w:trHeight w:val="397"/>
        </w:trPr>
        <w:tc>
          <w:tcPr>
            <w:tcW w:w="1413" w:type="dxa"/>
            <w:shd w:val="clear" w:color="000000" w:fill="FFFFFF"/>
          </w:tcPr>
          <w:p w14:paraId="2FFA999B" w14:textId="7E3B1009" w:rsidR="004758AB" w:rsidRPr="003716B1" w:rsidRDefault="004758AB" w:rsidP="004758AB">
            <w:pPr>
              <w:pStyle w:val="mainbody"/>
              <w:spacing w:line="240" w:lineRule="auto"/>
              <w:jc w:val="left"/>
            </w:pPr>
            <w:r w:rsidRPr="00CE0F63">
              <w:t>Y/617/8820</w:t>
            </w:r>
          </w:p>
        </w:tc>
        <w:tc>
          <w:tcPr>
            <w:tcW w:w="5528" w:type="dxa"/>
            <w:gridSpan w:val="2"/>
            <w:shd w:val="clear" w:color="000000" w:fill="FFFFFF"/>
          </w:tcPr>
          <w:p w14:paraId="3BE39B5D" w14:textId="03C07E27" w:rsidR="004758AB" w:rsidRPr="003716B1" w:rsidRDefault="004758AB" w:rsidP="004758AB">
            <w:pPr>
              <w:pStyle w:val="mainbody"/>
              <w:spacing w:line="240" w:lineRule="auto"/>
              <w:jc w:val="left"/>
            </w:pPr>
            <w:r w:rsidRPr="00CF3568">
              <w:t xml:space="preserve">Assessing and preparing background surfaces for floorcovering in the workplace </w:t>
            </w:r>
          </w:p>
        </w:tc>
        <w:tc>
          <w:tcPr>
            <w:tcW w:w="851" w:type="dxa"/>
            <w:shd w:val="clear" w:color="000000" w:fill="FFFFFF"/>
          </w:tcPr>
          <w:p w14:paraId="25CC0046" w14:textId="539B5F3F" w:rsidR="004758AB" w:rsidRPr="003716B1" w:rsidRDefault="004758AB" w:rsidP="004758AB">
            <w:pPr>
              <w:pStyle w:val="mainbody"/>
              <w:spacing w:line="240" w:lineRule="auto"/>
              <w:jc w:val="center"/>
            </w:pPr>
            <w:r w:rsidRPr="001E783E">
              <w:t>2</w:t>
            </w:r>
          </w:p>
        </w:tc>
        <w:tc>
          <w:tcPr>
            <w:tcW w:w="992" w:type="dxa"/>
            <w:shd w:val="clear" w:color="000000" w:fill="FFFFFF"/>
          </w:tcPr>
          <w:p w14:paraId="1E334DD5" w14:textId="0AA1CB42" w:rsidR="004758AB" w:rsidRPr="003716B1" w:rsidRDefault="004758AB" w:rsidP="004758AB">
            <w:pPr>
              <w:pStyle w:val="mainbody"/>
              <w:spacing w:line="240" w:lineRule="auto"/>
              <w:jc w:val="center"/>
            </w:pPr>
            <w:r w:rsidRPr="001E783E">
              <w:t>16</w:t>
            </w:r>
          </w:p>
        </w:tc>
        <w:tc>
          <w:tcPr>
            <w:tcW w:w="850" w:type="dxa"/>
            <w:shd w:val="clear" w:color="auto" w:fill="auto"/>
          </w:tcPr>
          <w:p w14:paraId="313D9409" w14:textId="7BFF4E82" w:rsidR="004758AB" w:rsidRPr="003716B1" w:rsidRDefault="004758AB" w:rsidP="004758AB">
            <w:pPr>
              <w:pStyle w:val="mainbody"/>
              <w:spacing w:line="240" w:lineRule="auto"/>
              <w:jc w:val="center"/>
            </w:pPr>
            <w:r w:rsidRPr="001E783E">
              <w:t>53</w:t>
            </w:r>
          </w:p>
        </w:tc>
      </w:tr>
      <w:tr w:rsidR="004758AB" w:rsidRPr="003716B1" w14:paraId="723AC44A" w14:textId="77777777" w:rsidTr="00597842">
        <w:trPr>
          <w:trHeight w:val="397"/>
        </w:trPr>
        <w:tc>
          <w:tcPr>
            <w:tcW w:w="1413" w:type="dxa"/>
            <w:shd w:val="clear" w:color="000000" w:fill="FFFFFF"/>
          </w:tcPr>
          <w:p w14:paraId="13AB5E67" w14:textId="3AE33277" w:rsidR="004758AB" w:rsidRPr="003716B1" w:rsidRDefault="004758AB" w:rsidP="004758AB">
            <w:pPr>
              <w:pStyle w:val="mainbody"/>
              <w:spacing w:line="240" w:lineRule="auto"/>
              <w:jc w:val="left"/>
            </w:pPr>
            <w:r w:rsidRPr="00CE0F63">
              <w:t>F/617/8827</w:t>
            </w:r>
          </w:p>
        </w:tc>
        <w:tc>
          <w:tcPr>
            <w:tcW w:w="5528" w:type="dxa"/>
            <w:gridSpan w:val="2"/>
            <w:shd w:val="clear" w:color="000000" w:fill="FFFFFF"/>
          </w:tcPr>
          <w:p w14:paraId="3051508A" w14:textId="0AB43FE4" w:rsidR="004758AB" w:rsidRPr="003716B1" w:rsidRDefault="004758AB" w:rsidP="004758AB">
            <w:pPr>
              <w:pStyle w:val="mainbody"/>
              <w:spacing w:line="240" w:lineRule="auto"/>
              <w:jc w:val="left"/>
            </w:pPr>
            <w:r w:rsidRPr="00CF3568">
              <w:t>Assessing and evaluating conditions for floorcoverings in the workplace</w:t>
            </w:r>
          </w:p>
        </w:tc>
        <w:tc>
          <w:tcPr>
            <w:tcW w:w="851" w:type="dxa"/>
            <w:shd w:val="clear" w:color="000000" w:fill="FFFFFF"/>
          </w:tcPr>
          <w:p w14:paraId="3A8B7DAC" w14:textId="0C73BF86" w:rsidR="004758AB" w:rsidRPr="003716B1" w:rsidRDefault="004758AB" w:rsidP="004758AB">
            <w:pPr>
              <w:pStyle w:val="mainbody"/>
              <w:spacing w:line="240" w:lineRule="auto"/>
              <w:jc w:val="center"/>
            </w:pPr>
            <w:r w:rsidRPr="001E783E">
              <w:t>2</w:t>
            </w:r>
          </w:p>
        </w:tc>
        <w:tc>
          <w:tcPr>
            <w:tcW w:w="992" w:type="dxa"/>
            <w:shd w:val="clear" w:color="000000" w:fill="FFFFFF"/>
          </w:tcPr>
          <w:p w14:paraId="14610A86" w14:textId="4F87398B" w:rsidR="004758AB" w:rsidRPr="003716B1" w:rsidRDefault="004758AB" w:rsidP="004758AB">
            <w:pPr>
              <w:pStyle w:val="mainbody"/>
              <w:spacing w:line="240" w:lineRule="auto"/>
              <w:jc w:val="center"/>
            </w:pPr>
            <w:r w:rsidRPr="001E783E">
              <w:t>22</w:t>
            </w:r>
          </w:p>
        </w:tc>
        <w:tc>
          <w:tcPr>
            <w:tcW w:w="850" w:type="dxa"/>
            <w:shd w:val="clear" w:color="auto" w:fill="auto"/>
          </w:tcPr>
          <w:p w14:paraId="69DD84C1" w14:textId="11B75660" w:rsidR="004758AB" w:rsidRPr="003716B1" w:rsidRDefault="004758AB" w:rsidP="004758AB">
            <w:pPr>
              <w:pStyle w:val="mainbody"/>
              <w:spacing w:line="240" w:lineRule="auto"/>
              <w:jc w:val="center"/>
            </w:pPr>
            <w:r w:rsidRPr="001E783E">
              <w:t>73</w:t>
            </w:r>
          </w:p>
        </w:tc>
      </w:tr>
      <w:tr w:rsidR="00093096" w:rsidRPr="00AE6151" w14:paraId="24D29D12" w14:textId="77777777" w:rsidTr="002369F6">
        <w:trPr>
          <w:trHeight w:val="397"/>
        </w:trPr>
        <w:tc>
          <w:tcPr>
            <w:tcW w:w="9634" w:type="dxa"/>
            <w:gridSpan w:val="6"/>
            <w:shd w:val="clear" w:color="auto" w:fill="auto"/>
            <w:vAlign w:val="center"/>
          </w:tcPr>
          <w:p w14:paraId="6AC1B892" w14:textId="50D45BE2" w:rsidR="00093096" w:rsidRPr="00AE6151" w:rsidRDefault="00093096" w:rsidP="002369F6">
            <w:pPr>
              <w:pStyle w:val="mainbody"/>
              <w:spacing w:line="240" w:lineRule="auto"/>
              <w:jc w:val="left"/>
              <w:rPr>
                <w:b/>
                <w:bCs/>
                <w:color w:val="000000" w:themeColor="text1"/>
              </w:rPr>
            </w:pPr>
            <w:r>
              <w:rPr>
                <w:b/>
                <w:bCs/>
                <w:color w:val="000000" w:themeColor="text1"/>
              </w:rPr>
              <w:t>Optional</w:t>
            </w:r>
            <w:r w:rsidRPr="00AE6151">
              <w:rPr>
                <w:b/>
                <w:bCs/>
                <w:color w:val="000000" w:themeColor="text1"/>
              </w:rPr>
              <w:t xml:space="preserve"> Units</w:t>
            </w:r>
            <w:r w:rsidR="00CE2E2E">
              <w:rPr>
                <w:b/>
                <w:bCs/>
                <w:color w:val="000000" w:themeColor="text1"/>
              </w:rPr>
              <w:t xml:space="preserve"> a </w:t>
            </w:r>
            <w:r w:rsidR="00CE2E2E" w:rsidRPr="00CE2E2E">
              <w:rPr>
                <w:b/>
                <w:bCs/>
                <w:color w:val="000000" w:themeColor="text1"/>
              </w:rPr>
              <w:t xml:space="preserve">minimum of </w:t>
            </w:r>
            <w:r w:rsidR="009D1CC2">
              <w:rPr>
                <w:b/>
                <w:bCs/>
                <w:color w:val="000000" w:themeColor="text1"/>
              </w:rPr>
              <w:t xml:space="preserve">18 </w:t>
            </w:r>
            <w:r w:rsidR="00CE2E2E" w:rsidRPr="00CE2E2E">
              <w:rPr>
                <w:b/>
                <w:bCs/>
                <w:color w:val="000000" w:themeColor="text1"/>
              </w:rPr>
              <w:t xml:space="preserve">credits must be achieved  </w:t>
            </w:r>
          </w:p>
        </w:tc>
      </w:tr>
      <w:tr w:rsidR="008C2C2F" w:rsidRPr="00551E56" w14:paraId="59A82518" w14:textId="77777777" w:rsidTr="0002554A">
        <w:trPr>
          <w:trHeight w:val="397"/>
        </w:trPr>
        <w:tc>
          <w:tcPr>
            <w:tcW w:w="1413" w:type="dxa"/>
            <w:shd w:val="clear" w:color="auto" w:fill="auto"/>
          </w:tcPr>
          <w:p w14:paraId="3EE081D2" w14:textId="0FE28BAE" w:rsidR="008C2C2F" w:rsidRPr="000F2875" w:rsidRDefault="008C2C2F" w:rsidP="008C2C2F">
            <w:pPr>
              <w:pStyle w:val="mainbody"/>
              <w:spacing w:line="240" w:lineRule="auto"/>
              <w:jc w:val="left"/>
              <w:rPr>
                <w:color w:val="000000" w:themeColor="text1"/>
              </w:rPr>
            </w:pPr>
            <w:r w:rsidRPr="00192226">
              <w:t>A/617/8826</w:t>
            </w:r>
          </w:p>
        </w:tc>
        <w:tc>
          <w:tcPr>
            <w:tcW w:w="5528" w:type="dxa"/>
            <w:gridSpan w:val="2"/>
            <w:shd w:val="clear" w:color="auto" w:fill="auto"/>
          </w:tcPr>
          <w:p w14:paraId="45E13DAA" w14:textId="709116F6" w:rsidR="008C2C2F" w:rsidRPr="000F2875" w:rsidRDefault="008C2C2F" w:rsidP="008C2C2F">
            <w:pPr>
              <w:pStyle w:val="mainbody"/>
              <w:spacing w:line="240" w:lineRule="auto"/>
              <w:jc w:val="left"/>
              <w:rPr>
                <w:color w:val="000000" w:themeColor="text1"/>
              </w:rPr>
            </w:pPr>
            <w:r w:rsidRPr="00463135">
              <w:t>Installing timber-based floorcoverings in the workplace</w:t>
            </w:r>
          </w:p>
        </w:tc>
        <w:tc>
          <w:tcPr>
            <w:tcW w:w="851" w:type="dxa"/>
            <w:shd w:val="clear" w:color="auto" w:fill="auto"/>
          </w:tcPr>
          <w:p w14:paraId="6D077D92" w14:textId="2F1EC7ED" w:rsidR="008C2C2F" w:rsidRDefault="008C2C2F" w:rsidP="008C2C2F">
            <w:pPr>
              <w:pStyle w:val="mainbody"/>
              <w:spacing w:line="240" w:lineRule="auto"/>
              <w:jc w:val="center"/>
              <w:rPr>
                <w:color w:val="000000" w:themeColor="text1"/>
              </w:rPr>
            </w:pPr>
            <w:r w:rsidRPr="00B5012B">
              <w:t>2</w:t>
            </w:r>
          </w:p>
        </w:tc>
        <w:tc>
          <w:tcPr>
            <w:tcW w:w="992" w:type="dxa"/>
            <w:shd w:val="clear" w:color="auto" w:fill="auto"/>
          </w:tcPr>
          <w:p w14:paraId="53692992" w14:textId="4AE89574" w:rsidR="008C2C2F" w:rsidRDefault="008C2C2F" w:rsidP="008C2C2F">
            <w:pPr>
              <w:pStyle w:val="mainbody"/>
              <w:spacing w:line="240" w:lineRule="auto"/>
              <w:jc w:val="center"/>
              <w:rPr>
                <w:color w:val="000000" w:themeColor="text1"/>
              </w:rPr>
            </w:pPr>
            <w:r w:rsidRPr="00B5012B">
              <w:t>22</w:t>
            </w:r>
          </w:p>
        </w:tc>
        <w:tc>
          <w:tcPr>
            <w:tcW w:w="850" w:type="dxa"/>
          </w:tcPr>
          <w:p w14:paraId="046CB6A9" w14:textId="57BA727C" w:rsidR="008C2C2F" w:rsidRDefault="008C2C2F" w:rsidP="008C2C2F">
            <w:pPr>
              <w:pStyle w:val="mainbody"/>
              <w:spacing w:line="240" w:lineRule="auto"/>
              <w:jc w:val="center"/>
              <w:rPr>
                <w:color w:val="000000" w:themeColor="text1"/>
              </w:rPr>
            </w:pPr>
            <w:r w:rsidRPr="00B5012B">
              <w:t>73</w:t>
            </w:r>
          </w:p>
        </w:tc>
      </w:tr>
      <w:tr w:rsidR="008C2C2F" w:rsidRPr="00551E56" w14:paraId="584D127C" w14:textId="77777777" w:rsidTr="0002554A">
        <w:trPr>
          <w:trHeight w:val="397"/>
        </w:trPr>
        <w:tc>
          <w:tcPr>
            <w:tcW w:w="1413" w:type="dxa"/>
            <w:shd w:val="clear" w:color="auto" w:fill="auto"/>
          </w:tcPr>
          <w:p w14:paraId="22A3F04C" w14:textId="01153D13" w:rsidR="008C2C2F" w:rsidRPr="00190C2A" w:rsidRDefault="008C2C2F" w:rsidP="008C2C2F">
            <w:pPr>
              <w:pStyle w:val="mainbody"/>
              <w:spacing w:line="240" w:lineRule="auto"/>
              <w:jc w:val="left"/>
              <w:rPr>
                <w:color w:val="000000" w:themeColor="text1"/>
              </w:rPr>
            </w:pPr>
            <w:r w:rsidRPr="00192226">
              <w:t>M/617/8824</w:t>
            </w:r>
          </w:p>
        </w:tc>
        <w:tc>
          <w:tcPr>
            <w:tcW w:w="5528" w:type="dxa"/>
            <w:gridSpan w:val="2"/>
            <w:shd w:val="clear" w:color="auto" w:fill="auto"/>
          </w:tcPr>
          <w:p w14:paraId="064660A4" w14:textId="092AD6ED" w:rsidR="008C2C2F" w:rsidRPr="00190C2A" w:rsidRDefault="008C2C2F" w:rsidP="008C2C2F">
            <w:pPr>
              <w:pStyle w:val="mainbody"/>
              <w:spacing w:line="240" w:lineRule="auto"/>
              <w:jc w:val="left"/>
              <w:rPr>
                <w:color w:val="000000" w:themeColor="text1"/>
              </w:rPr>
            </w:pPr>
            <w:r w:rsidRPr="00463135">
              <w:t>Installing textile floorcoverings in the workplace</w:t>
            </w:r>
          </w:p>
        </w:tc>
        <w:tc>
          <w:tcPr>
            <w:tcW w:w="851" w:type="dxa"/>
            <w:shd w:val="clear" w:color="auto" w:fill="auto"/>
          </w:tcPr>
          <w:p w14:paraId="54F61C90" w14:textId="26C6D5BE" w:rsidR="008C2C2F" w:rsidRDefault="008C2C2F" w:rsidP="008C2C2F">
            <w:pPr>
              <w:pStyle w:val="mainbody"/>
              <w:spacing w:line="240" w:lineRule="auto"/>
              <w:jc w:val="center"/>
              <w:rPr>
                <w:color w:val="000000" w:themeColor="text1"/>
              </w:rPr>
            </w:pPr>
            <w:r w:rsidRPr="00B5012B">
              <w:t>2</w:t>
            </w:r>
          </w:p>
        </w:tc>
        <w:tc>
          <w:tcPr>
            <w:tcW w:w="992" w:type="dxa"/>
            <w:shd w:val="clear" w:color="auto" w:fill="auto"/>
          </w:tcPr>
          <w:p w14:paraId="00B2A7DE" w14:textId="35029392" w:rsidR="008C2C2F" w:rsidRDefault="008C2C2F" w:rsidP="008C2C2F">
            <w:pPr>
              <w:pStyle w:val="mainbody"/>
              <w:spacing w:line="240" w:lineRule="auto"/>
              <w:jc w:val="center"/>
              <w:rPr>
                <w:color w:val="000000" w:themeColor="text1"/>
              </w:rPr>
            </w:pPr>
            <w:r w:rsidRPr="00B5012B">
              <w:t>18</w:t>
            </w:r>
          </w:p>
        </w:tc>
        <w:tc>
          <w:tcPr>
            <w:tcW w:w="850" w:type="dxa"/>
          </w:tcPr>
          <w:p w14:paraId="60DEA42C" w14:textId="3EE40EB2" w:rsidR="008C2C2F" w:rsidRDefault="008C2C2F" w:rsidP="008C2C2F">
            <w:pPr>
              <w:pStyle w:val="mainbody"/>
              <w:spacing w:line="240" w:lineRule="auto"/>
              <w:jc w:val="center"/>
              <w:rPr>
                <w:color w:val="000000" w:themeColor="text1"/>
              </w:rPr>
            </w:pPr>
            <w:r w:rsidRPr="00B5012B">
              <w:t>60</w:t>
            </w:r>
          </w:p>
        </w:tc>
      </w:tr>
      <w:tr w:rsidR="008C2C2F" w:rsidRPr="00551E56" w14:paraId="1083F7B9" w14:textId="77777777" w:rsidTr="0002554A">
        <w:trPr>
          <w:trHeight w:val="397"/>
        </w:trPr>
        <w:tc>
          <w:tcPr>
            <w:tcW w:w="1413" w:type="dxa"/>
            <w:shd w:val="clear" w:color="auto" w:fill="auto"/>
          </w:tcPr>
          <w:p w14:paraId="1FCB16EF" w14:textId="26D4B17C" w:rsidR="008C2C2F" w:rsidRPr="00190C2A" w:rsidRDefault="008C2C2F" w:rsidP="008C2C2F">
            <w:pPr>
              <w:pStyle w:val="mainbody"/>
              <w:spacing w:line="240" w:lineRule="auto"/>
              <w:jc w:val="left"/>
              <w:rPr>
                <w:color w:val="000000" w:themeColor="text1"/>
              </w:rPr>
            </w:pPr>
            <w:r w:rsidRPr="00192226">
              <w:t>T/617/8825</w:t>
            </w:r>
          </w:p>
        </w:tc>
        <w:tc>
          <w:tcPr>
            <w:tcW w:w="5528" w:type="dxa"/>
            <w:gridSpan w:val="2"/>
            <w:shd w:val="clear" w:color="auto" w:fill="auto"/>
          </w:tcPr>
          <w:p w14:paraId="4D3B9A47" w14:textId="4B8409CE" w:rsidR="008C2C2F" w:rsidRPr="00190C2A" w:rsidRDefault="008C2C2F" w:rsidP="008C2C2F">
            <w:pPr>
              <w:pStyle w:val="mainbody"/>
              <w:spacing w:line="240" w:lineRule="auto"/>
              <w:jc w:val="left"/>
              <w:rPr>
                <w:color w:val="000000" w:themeColor="text1"/>
              </w:rPr>
            </w:pPr>
            <w:r w:rsidRPr="00463135">
              <w:t>Installing resilient floorcoverings in the workplace</w:t>
            </w:r>
          </w:p>
        </w:tc>
        <w:tc>
          <w:tcPr>
            <w:tcW w:w="851" w:type="dxa"/>
            <w:shd w:val="clear" w:color="auto" w:fill="auto"/>
          </w:tcPr>
          <w:p w14:paraId="029A6C44" w14:textId="4E14A784" w:rsidR="008C2C2F" w:rsidRDefault="008C2C2F" w:rsidP="008C2C2F">
            <w:pPr>
              <w:pStyle w:val="mainbody"/>
              <w:spacing w:line="240" w:lineRule="auto"/>
              <w:jc w:val="center"/>
              <w:rPr>
                <w:color w:val="000000" w:themeColor="text1"/>
              </w:rPr>
            </w:pPr>
            <w:r w:rsidRPr="00B5012B">
              <w:t>2</w:t>
            </w:r>
          </w:p>
        </w:tc>
        <w:tc>
          <w:tcPr>
            <w:tcW w:w="992" w:type="dxa"/>
            <w:shd w:val="clear" w:color="auto" w:fill="auto"/>
          </w:tcPr>
          <w:p w14:paraId="79381157" w14:textId="096B5F87" w:rsidR="008C2C2F" w:rsidRDefault="008C2C2F" w:rsidP="008C2C2F">
            <w:pPr>
              <w:pStyle w:val="mainbody"/>
              <w:spacing w:line="240" w:lineRule="auto"/>
              <w:jc w:val="center"/>
              <w:rPr>
                <w:color w:val="000000" w:themeColor="text1"/>
              </w:rPr>
            </w:pPr>
            <w:r w:rsidRPr="00B5012B">
              <w:t>35</w:t>
            </w:r>
          </w:p>
        </w:tc>
        <w:tc>
          <w:tcPr>
            <w:tcW w:w="850" w:type="dxa"/>
          </w:tcPr>
          <w:p w14:paraId="76FE2FFD" w14:textId="773C7915" w:rsidR="008C2C2F" w:rsidRDefault="008C2C2F" w:rsidP="008C2C2F">
            <w:pPr>
              <w:pStyle w:val="mainbody"/>
              <w:spacing w:line="240" w:lineRule="auto"/>
              <w:jc w:val="center"/>
              <w:rPr>
                <w:color w:val="000000" w:themeColor="text1"/>
              </w:rPr>
            </w:pPr>
            <w:r w:rsidRPr="00B5012B">
              <w:t>117</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6936" w14:textId="77777777" w:rsidR="00CA455F" w:rsidRDefault="00CA455F">
      <w:pPr>
        <w:spacing w:after="0" w:line="240" w:lineRule="auto"/>
      </w:pPr>
      <w:r>
        <w:separator/>
      </w:r>
    </w:p>
  </w:endnote>
  <w:endnote w:type="continuationSeparator" w:id="0">
    <w:p w14:paraId="592F82B5" w14:textId="77777777" w:rsidR="00CA455F" w:rsidRDefault="00CA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4C3D" w14:textId="77777777" w:rsidR="00CA455F" w:rsidRDefault="00CA455F">
      <w:pPr>
        <w:spacing w:after="0" w:line="240" w:lineRule="auto"/>
      </w:pPr>
      <w:r>
        <w:separator/>
      </w:r>
    </w:p>
  </w:footnote>
  <w:footnote w:type="continuationSeparator" w:id="0">
    <w:p w14:paraId="2C75CDE8" w14:textId="77777777" w:rsidR="00CA455F" w:rsidRDefault="00CA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0348"/>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101847"/>
    <w:rsid w:val="00105947"/>
    <w:rsid w:val="00106037"/>
    <w:rsid w:val="00106AC4"/>
    <w:rsid w:val="00107A0A"/>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6023D"/>
    <w:rsid w:val="00363B02"/>
    <w:rsid w:val="0036557C"/>
    <w:rsid w:val="0036706C"/>
    <w:rsid w:val="003716B1"/>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F30"/>
    <w:rsid w:val="00745404"/>
    <w:rsid w:val="007563D4"/>
    <w:rsid w:val="0076139A"/>
    <w:rsid w:val="0076252D"/>
    <w:rsid w:val="00765D04"/>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D21EA"/>
    <w:rsid w:val="007D3B57"/>
    <w:rsid w:val="007D3CAA"/>
    <w:rsid w:val="007D5D00"/>
    <w:rsid w:val="007E0AED"/>
    <w:rsid w:val="007E28DA"/>
    <w:rsid w:val="007F7D06"/>
    <w:rsid w:val="00800159"/>
    <w:rsid w:val="00816924"/>
    <w:rsid w:val="00827E42"/>
    <w:rsid w:val="008377CB"/>
    <w:rsid w:val="00864665"/>
    <w:rsid w:val="00865010"/>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89C"/>
    <w:rsid w:val="008F64AC"/>
    <w:rsid w:val="008F6A71"/>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6521"/>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5171"/>
    <w:rsid w:val="00C06204"/>
    <w:rsid w:val="00C23FAB"/>
    <w:rsid w:val="00C27775"/>
    <w:rsid w:val="00C438DF"/>
    <w:rsid w:val="00C475D0"/>
    <w:rsid w:val="00C47FF4"/>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55F"/>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27896"/>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5B6A"/>
    <w:rsid w:val="00DD6736"/>
    <w:rsid w:val="00DE05D5"/>
    <w:rsid w:val="00DE1250"/>
    <w:rsid w:val="00DF069A"/>
    <w:rsid w:val="00DF203B"/>
    <w:rsid w:val="00DF4BF0"/>
    <w:rsid w:val="00E16CB3"/>
    <w:rsid w:val="00E20339"/>
    <w:rsid w:val="00E35775"/>
    <w:rsid w:val="00E360ED"/>
    <w:rsid w:val="00E41C2E"/>
    <w:rsid w:val="00E4259A"/>
    <w:rsid w:val="00E52EC4"/>
    <w:rsid w:val="00E54D1D"/>
    <w:rsid w:val="00E55187"/>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A1716"/>
    <w:rsid w:val="00FA6D8B"/>
    <w:rsid w:val="00FB2EA5"/>
    <w:rsid w:val="00FB55F4"/>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2021-11-09T13:16:00Z</dcterms:created>
  <dcterms:modified xsi:type="dcterms:W3CDTF">2021-11-09T13:19:00Z</dcterms:modified>
</cp:coreProperties>
</file>