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F0B5" w14:textId="77777777" w:rsidR="00926448" w:rsidRDefault="00C438DF" w:rsidP="003A1DFC">
      <w:pPr>
        <w:pStyle w:val="Heading"/>
      </w:pPr>
      <w:r>
        <w:t xml:space="preserve">Qualification </w:t>
      </w:r>
      <w:r w:rsidR="0027141B">
        <w:t>T</w:t>
      </w:r>
      <w:r>
        <w:t xml:space="preserve">itle: </w:t>
      </w:r>
      <w:r w:rsidR="00926448" w:rsidRPr="00926448">
        <w:t>GQA Level 2 NVQ Diploma In Steelfixing Occupations (Construction) V2</w:t>
      </w:r>
      <w:r w:rsidR="00926448" w:rsidRPr="00926448">
        <w:tab/>
      </w:r>
    </w:p>
    <w:p w14:paraId="73D30DF5" w14:textId="50F16FA4" w:rsidR="00EE3744" w:rsidRDefault="0027141B" w:rsidP="003A1DFC">
      <w:pPr>
        <w:pStyle w:val="Heading"/>
      </w:pPr>
      <w:r w:rsidRPr="0027141B">
        <w:t>Qualification Number</w:t>
      </w:r>
      <w:r w:rsidR="00C438DF">
        <w:t xml:space="preserve">: </w:t>
      </w:r>
      <w:r w:rsidR="00926448" w:rsidRPr="00926448">
        <w:t>610/0129/3</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6AF9F1E8" w14:textId="77777777" w:rsidR="00926448" w:rsidRDefault="00926448" w:rsidP="00926448">
      <w:pPr>
        <w:pStyle w:val="mainbody"/>
      </w:pPr>
      <w:r>
        <w:t xml:space="preserve">"This qualification is aimed at those who construct and secure the steel foundations and bars that keep a building’s walls and exteriors in place.  Candidates will be required to prove they have the skills and knowledge to carry out cutting, bending, </w:t>
      </w:r>
      <w:proofErr w:type="gramStart"/>
      <w:r>
        <w:t>fixing</w:t>
      </w:r>
      <w:proofErr w:type="gramEnd"/>
      <w:r>
        <w:t xml:space="preserve"> and prefabricating reinforcement steel. </w:t>
      </w:r>
    </w:p>
    <w:p w14:paraId="537A619C" w14:textId="11C23949" w:rsidR="00743452" w:rsidRPr="00AC5090" w:rsidRDefault="00926448" w:rsidP="00926448">
      <w:pPr>
        <w:pStyle w:val="mainbody"/>
      </w:pPr>
      <w:r>
        <w:t xml:space="preserve">It is not expected that candidates working in this industry all do the same activities; the qualification is structured to ensure that there is a high degree of flexibility while still meeting the requirements of the qualification units.  All work must be carried out in accordance with relevant legislation and following industry recognised safe working practices. The qualification has been developed in a way that will allow employees from companies of all sizes and specialisms equal opportunity to </w:t>
      </w:r>
      <w:proofErr w:type="spellStart"/>
      <w:r>
        <w:t>complete.The</w:t>
      </w:r>
      <w:proofErr w:type="spellEnd"/>
      <w:r>
        <w:t xml:space="preserve"> standards cover the most important aspects of the job. This qualification is at Level 2, although some units may be at different levels, candidates should require minimum supervision in undertaking the job.                                                                                                                                            Qualifications are made up of a number of units that have a credit value or credits. This qualification is made up of 3 mandatory units, which have a total of 10 credits and a group of optional units. Candidates must achieve all credits from the mandatory units and a minimum of 2 optional units. This gives the qualification a minimum credit value of 48 credits"</w:t>
      </w: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7BBA027" w14:textId="58DB41D4" w:rsidR="00743452" w:rsidRDefault="00743452" w:rsidP="0036706C">
      <w:pPr>
        <w:pStyle w:val="mainbody"/>
      </w:pPr>
      <w:r>
        <w:t xml:space="preserve">The qualification requires individuals to prove competent </w:t>
      </w:r>
      <w:r w:rsidR="00926448" w:rsidRPr="00926448">
        <w:t xml:space="preserve"> </w:t>
      </w:r>
      <w:r w:rsidR="00AB2211">
        <w:t xml:space="preserve">to </w:t>
      </w:r>
      <w:r w:rsidR="00926448" w:rsidRPr="00926448">
        <w:t>construct and secure the steel foundations and bars that keep a building’s walls and exteriors in place</w:t>
      </w:r>
    </w:p>
    <w:p w14:paraId="06CDF95F" w14:textId="77777777" w:rsidR="00926448" w:rsidRDefault="00926448" w:rsidP="00926448">
      <w:pPr>
        <w:pStyle w:val="mainbody"/>
      </w:pPr>
      <w:r>
        <w:t>Qualifications are now required to indicate the total qualification time (TQT), this is to show the typical time it will take someone to attain the required skills and knowledge to meet the qualification criteria, this qualification has a TQT of  440 hours.</w:t>
      </w:r>
    </w:p>
    <w:p w14:paraId="654E2242" w14:textId="77777777" w:rsidR="00982CAC" w:rsidRDefault="00926448" w:rsidP="00926448">
      <w:pPr>
        <w:pStyle w:val="mainbody"/>
      </w:pPr>
      <w:r>
        <w:t>Qualifications are also required to indicate the number of hours of teaching someone would normally need to receive in order to achieve the qualification. These are referred to as Guided Learning Hours (GLH). The GLH for this qualification is 160</w:t>
      </w:r>
      <w:r w:rsidR="00982CAC">
        <w:t>.</w:t>
      </w:r>
    </w:p>
    <w:p w14:paraId="782CF183" w14:textId="5A5AB7E8" w:rsidR="00CB0FAA" w:rsidRDefault="008E7AAF" w:rsidP="00926448">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08333D" w:rsidRPr="00551E56" w14:paraId="0F155AE6" w14:textId="77777777" w:rsidTr="0008333D">
        <w:trPr>
          <w:trHeight w:val="443"/>
        </w:trPr>
        <w:tc>
          <w:tcPr>
            <w:tcW w:w="3029" w:type="dxa"/>
            <w:gridSpan w:val="2"/>
            <w:shd w:val="clear" w:color="auto" w:fill="auto"/>
            <w:vAlign w:val="center"/>
          </w:tcPr>
          <w:p w14:paraId="518062AA" w14:textId="77777777" w:rsidR="0008333D" w:rsidRPr="00551E56" w:rsidRDefault="0008333D"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338BA380" w:rsidR="0008333D" w:rsidRPr="00551E56" w:rsidRDefault="0008333D" w:rsidP="00CB0FAA">
            <w:pPr>
              <w:pStyle w:val="mainbody"/>
              <w:spacing w:line="240" w:lineRule="auto"/>
              <w:rPr>
                <w:color w:val="000000" w:themeColor="text1"/>
              </w:rPr>
            </w:pPr>
            <w:r>
              <w:t xml:space="preserve">GQA Level 2 NVQ Certificate in Steelfixing </w:t>
            </w:r>
            <w:proofErr w:type="spellStart"/>
            <w:r>
              <w:t>Occupatons</w:t>
            </w:r>
            <w:proofErr w:type="spellEnd"/>
            <w:r>
              <w:t xml:space="preserve"> (Construction)</w:t>
            </w:r>
          </w:p>
        </w:tc>
      </w:tr>
      <w:tr w:rsidR="0008333D" w:rsidRPr="00551E56" w14:paraId="0652D060" w14:textId="77777777" w:rsidTr="0008333D">
        <w:trPr>
          <w:trHeight w:val="443"/>
        </w:trPr>
        <w:tc>
          <w:tcPr>
            <w:tcW w:w="3029" w:type="dxa"/>
            <w:gridSpan w:val="2"/>
            <w:shd w:val="clear" w:color="auto" w:fill="auto"/>
            <w:vAlign w:val="center"/>
          </w:tcPr>
          <w:p w14:paraId="414CF42F" w14:textId="77777777" w:rsidR="0008333D" w:rsidRPr="00551E56" w:rsidRDefault="0008333D"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5904AA3E" w:rsidR="0008333D" w:rsidRPr="00551E56" w:rsidRDefault="0008333D" w:rsidP="002369F6">
            <w:pPr>
              <w:pStyle w:val="mainbody"/>
              <w:spacing w:line="240" w:lineRule="auto"/>
              <w:rPr>
                <w:color w:val="000000" w:themeColor="text1"/>
              </w:rPr>
            </w:pPr>
            <w:r w:rsidRPr="00AB2211">
              <w:t>610/0129/3</w:t>
            </w:r>
          </w:p>
        </w:tc>
      </w:tr>
      <w:tr w:rsidR="0008333D" w:rsidRPr="00551E56" w14:paraId="6AB53780" w14:textId="77777777" w:rsidTr="0008333D">
        <w:trPr>
          <w:trHeight w:val="443"/>
        </w:trPr>
        <w:tc>
          <w:tcPr>
            <w:tcW w:w="3029" w:type="dxa"/>
            <w:gridSpan w:val="2"/>
            <w:shd w:val="clear" w:color="auto" w:fill="auto"/>
            <w:vAlign w:val="center"/>
          </w:tcPr>
          <w:p w14:paraId="32109B6A" w14:textId="77777777" w:rsidR="0008333D" w:rsidRPr="00551E56" w:rsidRDefault="0008333D"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67CBCDE7" w:rsidR="0008333D" w:rsidRPr="00551E56" w:rsidRDefault="0008333D" w:rsidP="002369F6">
            <w:pPr>
              <w:pStyle w:val="mainbody"/>
              <w:spacing w:line="240" w:lineRule="auto"/>
              <w:rPr>
                <w:color w:val="000000" w:themeColor="text1"/>
              </w:rPr>
            </w:pPr>
            <w:r>
              <w:rPr>
                <w:color w:val="000000" w:themeColor="text1"/>
              </w:rPr>
              <w:t>48</w:t>
            </w:r>
          </w:p>
        </w:tc>
      </w:tr>
      <w:tr w:rsidR="0008333D" w:rsidRPr="00551E56" w14:paraId="11C9E5FD" w14:textId="77777777" w:rsidTr="0008333D">
        <w:trPr>
          <w:trHeight w:val="443"/>
        </w:trPr>
        <w:tc>
          <w:tcPr>
            <w:tcW w:w="3029" w:type="dxa"/>
            <w:gridSpan w:val="2"/>
            <w:shd w:val="clear" w:color="auto" w:fill="auto"/>
            <w:vAlign w:val="center"/>
          </w:tcPr>
          <w:p w14:paraId="451F0DC1" w14:textId="77777777" w:rsidR="0008333D" w:rsidRPr="00551E56" w:rsidRDefault="0008333D"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49DCE40D" w:rsidR="0008333D" w:rsidRPr="00551E56" w:rsidRDefault="0008333D" w:rsidP="002369F6">
            <w:pPr>
              <w:pStyle w:val="mainbody"/>
              <w:spacing w:line="240" w:lineRule="auto"/>
              <w:rPr>
                <w:color w:val="000000" w:themeColor="text1"/>
              </w:rPr>
            </w:pPr>
            <w:r>
              <w:rPr>
                <w:color w:val="000000" w:themeColor="text1"/>
              </w:rPr>
              <w:t>440</w:t>
            </w:r>
          </w:p>
        </w:tc>
      </w:tr>
      <w:tr w:rsidR="0008333D" w:rsidRPr="00551E56" w14:paraId="738630DA" w14:textId="77777777" w:rsidTr="0008333D">
        <w:trPr>
          <w:trHeight w:val="454"/>
        </w:trPr>
        <w:tc>
          <w:tcPr>
            <w:tcW w:w="8962" w:type="dxa"/>
            <w:gridSpan w:val="5"/>
            <w:shd w:val="clear" w:color="auto" w:fill="auto"/>
            <w:vAlign w:val="center"/>
          </w:tcPr>
          <w:p w14:paraId="03086137" w14:textId="11FE3631" w:rsidR="0008333D" w:rsidRPr="007D3CAA" w:rsidRDefault="0008333D"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08333D" w:rsidRPr="00551E56" w14:paraId="37DD148B" w14:textId="77777777" w:rsidTr="0008333D">
        <w:trPr>
          <w:trHeight w:val="454"/>
        </w:trPr>
        <w:tc>
          <w:tcPr>
            <w:tcW w:w="1316" w:type="dxa"/>
            <w:shd w:val="clear" w:color="auto" w:fill="auto"/>
            <w:vAlign w:val="center"/>
          </w:tcPr>
          <w:p w14:paraId="7E0D0C09" w14:textId="77777777" w:rsidR="0008333D" w:rsidRPr="00551E56" w:rsidRDefault="0008333D"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08333D" w:rsidRPr="00551E56" w:rsidRDefault="0008333D"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08333D" w:rsidRPr="00551E56" w:rsidRDefault="0008333D"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08333D" w:rsidRPr="00551E56" w:rsidRDefault="0008333D" w:rsidP="002369F6">
            <w:pPr>
              <w:pStyle w:val="mainbody"/>
              <w:spacing w:line="240" w:lineRule="auto"/>
              <w:jc w:val="center"/>
              <w:rPr>
                <w:b/>
                <w:bCs/>
                <w:color w:val="000000" w:themeColor="text1"/>
              </w:rPr>
            </w:pPr>
            <w:r w:rsidRPr="00551E56">
              <w:rPr>
                <w:b/>
                <w:bCs/>
                <w:color w:val="000000" w:themeColor="text1"/>
              </w:rPr>
              <w:t>Credit</w:t>
            </w:r>
          </w:p>
        </w:tc>
      </w:tr>
      <w:tr w:rsidR="0008333D" w:rsidRPr="00901060" w14:paraId="758E49E7" w14:textId="77777777" w:rsidTr="0008333D">
        <w:trPr>
          <w:trHeight w:val="397"/>
        </w:trPr>
        <w:tc>
          <w:tcPr>
            <w:tcW w:w="8962" w:type="dxa"/>
            <w:gridSpan w:val="5"/>
            <w:shd w:val="clear" w:color="000000" w:fill="FFFFFF"/>
            <w:vAlign w:val="bottom"/>
          </w:tcPr>
          <w:p w14:paraId="3769EBF8" w14:textId="2CCFD2A3" w:rsidR="0008333D" w:rsidRPr="00901060" w:rsidRDefault="0008333D" w:rsidP="002369F6">
            <w:pPr>
              <w:pStyle w:val="mainbody"/>
              <w:rPr>
                <w:b/>
                <w:bCs/>
              </w:rPr>
            </w:pPr>
            <w:r>
              <w:rPr>
                <w:b/>
                <w:bCs/>
              </w:rPr>
              <w:t xml:space="preserve">Qualification </w:t>
            </w:r>
            <w:r w:rsidRPr="00901060">
              <w:rPr>
                <w:b/>
                <w:bCs/>
              </w:rPr>
              <w:t>Mandatory Units</w:t>
            </w:r>
          </w:p>
        </w:tc>
      </w:tr>
      <w:tr w:rsidR="0008333D" w:rsidRPr="003716B1" w14:paraId="1F817E47" w14:textId="77777777" w:rsidTr="0008333D">
        <w:trPr>
          <w:trHeight w:val="454"/>
        </w:trPr>
        <w:tc>
          <w:tcPr>
            <w:tcW w:w="1316" w:type="dxa"/>
            <w:shd w:val="clear" w:color="auto" w:fill="auto"/>
          </w:tcPr>
          <w:p w14:paraId="6EB627B0" w14:textId="36C91403" w:rsidR="0008333D" w:rsidRPr="003716B1" w:rsidRDefault="0008333D" w:rsidP="00F666D8">
            <w:pPr>
              <w:pStyle w:val="mainbody"/>
              <w:spacing w:line="240" w:lineRule="auto"/>
              <w:jc w:val="left"/>
            </w:pPr>
            <w:r w:rsidRPr="00127A7D">
              <w:t>A/503/1170</w:t>
            </w:r>
          </w:p>
        </w:tc>
        <w:tc>
          <w:tcPr>
            <w:tcW w:w="5664" w:type="dxa"/>
            <w:gridSpan w:val="2"/>
            <w:shd w:val="clear" w:color="auto" w:fill="auto"/>
          </w:tcPr>
          <w:p w14:paraId="5D1D860B" w14:textId="3797820D" w:rsidR="0008333D" w:rsidRPr="003716B1" w:rsidRDefault="0008333D" w:rsidP="00F666D8">
            <w:pPr>
              <w:pStyle w:val="mainbody"/>
              <w:spacing w:line="240" w:lineRule="auto"/>
              <w:jc w:val="left"/>
            </w:pPr>
            <w:r>
              <w:t>Conforming to General Health, Safety and Welfare in the Workplace</w:t>
            </w:r>
          </w:p>
        </w:tc>
        <w:tc>
          <w:tcPr>
            <w:tcW w:w="925" w:type="dxa"/>
            <w:shd w:val="clear" w:color="auto" w:fill="auto"/>
          </w:tcPr>
          <w:p w14:paraId="50AC3E9E" w14:textId="4453EAFA" w:rsidR="0008333D" w:rsidRPr="003716B1" w:rsidRDefault="0008333D" w:rsidP="00F666D8">
            <w:pPr>
              <w:pStyle w:val="mainbody"/>
              <w:spacing w:line="240" w:lineRule="auto"/>
              <w:jc w:val="center"/>
            </w:pPr>
            <w:r>
              <w:t>1</w:t>
            </w:r>
          </w:p>
        </w:tc>
        <w:tc>
          <w:tcPr>
            <w:tcW w:w="1057" w:type="dxa"/>
            <w:shd w:val="clear" w:color="auto" w:fill="auto"/>
          </w:tcPr>
          <w:p w14:paraId="29222F68" w14:textId="21400E1B" w:rsidR="0008333D" w:rsidRPr="003716B1" w:rsidRDefault="0008333D" w:rsidP="00F666D8">
            <w:pPr>
              <w:pStyle w:val="mainbody"/>
              <w:spacing w:line="240" w:lineRule="auto"/>
              <w:jc w:val="center"/>
            </w:pPr>
            <w:r>
              <w:t>2</w:t>
            </w:r>
          </w:p>
        </w:tc>
      </w:tr>
      <w:tr w:rsidR="0008333D" w:rsidRPr="003716B1" w14:paraId="278450C3" w14:textId="77777777" w:rsidTr="0008333D">
        <w:trPr>
          <w:trHeight w:val="454"/>
        </w:trPr>
        <w:tc>
          <w:tcPr>
            <w:tcW w:w="1316" w:type="dxa"/>
            <w:shd w:val="clear" w:color="auto" w:fill="auto"/>
            <w:vAlign w:val="center"/>
          </w:tcPr>
          <w:p w14:paraId="45D626EF" w14:textId="79D280CB" w:rsidR="0008333D" w:rsidRPr="003716B1" w:rsidRDefault="0008333D" w:rsidP="000446D4">
            <w:pPr>
              <w:pStyle w:val="mainbody"/>
              <w:spacing w:line="240" w:lineRule="auto"/>
              <w:jc w:val="left"/>
            </w:pPr>
            <w:r w:rsidRPr="0008333D">
              <w:t>J/503/1169</w:t>
            </w:r>
          </w:p>
        </w:tc>
        <w:tc>
          <w:tcPr>
            <w:tcW w:w="5664" w:type="dxa"/>
            <w:gridSpan w:val="2"/>
            <w:shd w:val="clear" w:color="auto" w:fill="auto"/>
            <w:vAlign w:val="center"/>
          </w:tcPr>
          <w:p w14:paraId="43A0810E" w14:textId="3FA9289E" w:rsidR="0008333D" w:rsidRPr="003716B1" w:rsidRDefault="0008333D" w:rsidP="000446D4">
            <w:pPr>
              <w:pStyle w:val="mainbody"/>
              <w:spacing w:line="240" w:lineRule="auto"/>
              <w:jc w:val="left"/>
            </w:pPr>
            <w:r>
              <w:t>Conforming to Productive Working Practices in the Workplace</w:t>
            </w:r>
          </w:p>
        </w:tc>
        <w:tc>
          <w:tcPr>
            <w:tcW w:w="925" w:type="dxa"/>
            <w:shd w:val="clear" w:color="auto" w:fill="auto"/>
            <w:vAlign w:val="center"/>
          </w:tcPr>
          <w:p w14:paraId="7F83D4F1" w14:textId="73AAB9D4" w:rsidR="0008333D" w:rsidRPr="003716B1" w:rsidRDefault="0008333D" w:rsidP="000446D4">
            <w:pPr>
              <w:pStyle w:val="mainbody"/>
              <w:spacing w:line="240" w:lineRule="auto"/>
              <w:jc w:val="center"/>
            </w:pPr>
            <w:r>
              <w:t>2</w:t>
            </w:r>
          </w:p>
        </w:tc>
        <w:tc>
          <w:tcPr>
            <w:tcW w:w="1057" w:type="dxa"/>
            <w:shd w:val="clear" w:color="auto" w:fill="auto"/>
            <w:vAlign w:val="center"/>
          </w:tcPr>
          <w:p w14:paraId="64157DB4" w14:textId="1B9BA606" w:rsidR="0008333D" w:rsidRPr="003716B1" w:rsidRDefault="0008333D" w:rsidP="000446D4">
            <w:pPr>
              <w:pStyle w:val="mainbody"/>
              <w:spacing w:line="240" w:lineRule="auto"/>
              <w:jc w:val="center"/>
            </w:pPr>
            <w:r>
              <w:t>3</w:t>
            </w:r>
          </w:p>
        </w:tc>
      </w:tr>
      <w:tr w:rsidR="0008333D" w:rsidRPr="003716B1" w14:paraId="03898455" w14:textId="77777777" w:rsidTr="0008333D">
        <w:trPr>
          <w:trHeight w:val="454"/>
        </w:trPr>
        <w:tc>
          <w:tcPr>
            <w:tcW w:w="1316" w:type="dxa"/>
            <w:shd w:val="clear" w:color="auto" w:fill="auto"/>
            <w:vAlign w:val="center"/>
          </w:tcPr>
          <w:p w14:paraId="1A1B11AC" w14:textId="2368FA38" w:rsidR="0008333D" w:rsidRPr="003716B1" w:rsidRDefault="0008333D" w:rsidP="000446D4">
            <w:pPr>
              <w:pStyle w:val="mainbody"/>
              <w:spacing w:line="240" w:lineRule="auto"/>
              <w:jc w:val="left"/>
            </w:pPr>
            <w:r w:rsidRPr="0008333D">
              <w:t>F/503/1171</w:t>
            </w:r>
          </w:p>
        </w:tc>
        <w:tc>
          <w:tcPr>
            <w:tcW w:w="5664" w:type="dxa"/>
            <w:gridSpan w:val="2"/>
            <w:shd w:val="clear" w:color="auto" w:fill="auto"/>
            <w:vAlign w:val="center"/>
          </w:tcPr>
          <w:p w14:paraId="1B81BC3E" w14:textId="4B27CEDF" w:rsidR="0008333D" w:rsidRPr="003716B1" w:rsidRDefault="0008333D" w:rsidP="007D73B0">
            <w:pPr>
              <w:pStyle w:val="mainbody"/>
              <w:spacing w:line="240" w:lineRule="auto"/>
              <w:jc w:val="left"/>
            </w:pPr>
            <w:r>
              <w:t>Moving, Handling and Storing Resources in the Workplace</w:t>
            </w:r>
          </w:p>
        </w:tc>
        <w:tc>
          <w:tcPr>
            <w:tcW w:w="925" w:type="dxa"/>
            <w:shd w:val="clear" w:color="auto" w:fill="auto"/>
            <w:vAlign w:val="center"/>
          </w:tcPr>
          <w:p w14:paraId="5B1F584F" w14:textId="3861C496" w:rsidR="0008333D" w:rsidRPr="003716B1" w:rsidRDefault="0008333D" w:rsidP="000446D4">
            <w:pPr>
              <w:pStyle w:val="mainbody"/>
              <w:spacing w:line="240" w:lineRule="auto"/>
              <w:jc w:val="center"/>
            </w:pPr>
            <w:r>
              <w:t>2</w:t>
            </w:r>
          </w:p>
        </w:tc>
        <w:tc>
          <w:tcPr>
            <w:tcW w:w="1057" w:type="dxa"/>
            <w:shd w:val="clear" w:color="auto" w:fill="auto"/>
            <w:vAlign w:val="center"/>
          </w:tcPr>
          <w:p w14:paraId="7790A7FD" w14:textId="19BF76F3" w:rsidR="0008333D" w:rsidRPr="003716B1" w:rsidRDefault="0008333D" w:rsidP="000446D4">
            <w:pPr>
              <w:pStyle w:val="mainbody"/>
              <w:spacing w:line="240" w:lineRule="auto"/>
              <w:jc w:val="center"/>
            </w:pPr>
            <w:r>
              <w:t>5</w:t>
            </w:r>
          </w:p>
        </w:tc>
      </w:tr>
      <w:tr w:rsidR="0008333D" w:rsidRPr="00AE6151" w14:paraId="407D73B9" w14:textId="77777777" w:rsidTr="0008333D">
        <w:trPr>
          <w:trHeight w:val="397"/>
        </w:trPr>
        <w:tc>
          <w:tcPr>
            <w:tcW w:w="8962" w:type="dxa"/>
            <w:gridSpan w:val="5"/>
            <w:shd w:val="clear" w:color="auto" w:fill="auto"/>
            <w:vAlign w:val="center"/>
          </w:tcPr>
          <w:p w14:paraId="6AC1B892" w14:textId="4DDF1A87" w:rsidR="0008333D" w:rsidRPr="00AE6151" w:rsidRDefault="0008333D" w:rsidP="002369F6">
            <w:pPr>
              <w:pStyle w:val="mainbody"/>
              <w:spacing w:line="240" w:lineRule="auto"/>
              <w:jc w:val="left"/>
              <w:rPr>
                <w:b/>
                <w:bCs/>
                <w:color w:val="000000" w:themeColor="text1"/>
              </w:rPr>
            </w:pPr>
            <w:r w:rsidRPr="00AB2211">
              <w:rPr>
                <w:b/>
                <w:bCs/>
                <w:color w:val="000000" w:themeColor="text1"/>
              </w:rPr>
              <w:t>Optional units candidates must complete a minimum of 2 units</w:t>
            </w:r>
          </w:p>
        </w:tc>
      </w:tr>
      <w:tr w:rsidR="0008333D" w:rsidRPr="00551E56" w14:paraId="59A82518" w14:textId="77777777" w:rsidTr="0008333D">
        <w:trPr>
          <w:trHeight w:val="397"/>
        </w:trPr>
        <w:tc>
          <w:tcPr>
            <w:tcW w:w="1316" w:type="dxa"/>
            <w:shd w:val="clear" w:color="auto" w:fill="auto"/>
          </w:tcPr>
          <w:p w14:paraId="3EE081D2" w14:textId="58B01C16" w:rsidR="0008333D" w:rsidRPr="000F2875" w:rsidRDefault="0008333D" w:rsidP="00AB2211">
            <w:pPr>
              <w:pStyle w:val="mainbody"/>
              <w:spacing w:line="240" w:lineRule="auto"/>
              <w:jc w:val="left"/>
              <w:rPr>
                <w:color w:val="000000" w:themeColor="text1"/>
              </w:rPr>
            </w:pPr>
            <w:r w:rsidRPr="006C4608">
              <w:t>A/650/0493</w:t>
            </w:r>
          </w:p>
        </w:tc>
        <w:tc>
          <w:tcPr>
            <w:tcW w:w="5664" w:type="dxa"/>
            <w:gridSpan w:val="2"/>
            <w:shd w:val="clear" w:color="auto" w:fill="auto"/>
          </w:tcPr>
          <w:p w14:paraId="45E13DAA" w14:textId="08BA305D" w:rsidR="0008333D" w:rsidRPr="000F2875" w:rsidRDefault="0008333D" w:rsidP="00AB2211">
            <w:pPr>
              <w:pStyle w:val="mainbody"/>
              <w:spacing w:line="240" w:lineRule="auto"/>
              <w:jc w:val="left"/>
              <w:rPr>
                <w:color w:val="000000" w:themeColor="text1"/>
              </w:rPr>
            </w:pPr>
            <w:r w:rsidRPr="0081226C">
              <w:t xml:space="preserve"> Scheduling, dimensioning, </w:t>
            </w:r>
            <w:proofErr w:type="gramStart"/>
            <w:r w:rsidRPr="0081226C">
              <w:t>bending</w:t>
            </w:r>
            <w:proofErr w:type="gramEnd"/>
            <w:r w:rsidRPr="0081226C">
              <w:t xml:space="preserve"> and cutting of steel reinforcement for concrete in the workplace</w:t>
            </w:r>
          </w:p>
        </w:tc>
        <w:tc>
          <w:tcPr>
            <w:tcW w:w="925" w:type="dxa"/>
            <w:shd w:val="clear" w:color="auto" w:fill="auto"/>
          </w:tcPr>
          <w:p w14:paraId="6D077D92" w14:textId="62542FDA" w:rsidR="0008333D" w:rsidRDefault="0008333D" w:rsidP="00AB2211">
            <w:pPr>
              <w:pStyle w:val="mainbody"/>
              <w:spacing w:line="240" w:lineRule="auto"/>
              <w:jc w:val="center"/>
              <w:rPr>
                <w:color w:val="000000" w:themeColor="text1"/>
              </w:rPr>
            </w:pPr>
            <w:r w:rsidRPr="00F67F3F">
              <w:t>2</w:t>
            </w:r>
          </w:p>
        </w:tc>
        <w:tc>
          <w:tcPr>
            <w:tcW w:w="1057" w:type="dxa"/>
            <w:shd w:val="clear" w:color="auto" w:fill="auto"/>
          </w:tcPr>
          <w:p w14:paraId="046CB6A9" w14:textId="2C18154A" w:rsidR="0008333D" w:rsidRDefault="0008333D" w:rsidP="00AB2211">
            <w:pPr>
              <w:pStyle w:val="mainbody"/>
              <w:spacing w:line="240" w:lineRule="auto"/>
              <w:jc w:val="center"/>
              <w:rPr>
                <w:color w:val="000000" w:themeColor="text1"/>
              </w:rPr>
            </w:pPr>
            <w:r w:rsidRPr="00F67F3F">
              <w:t>16</w:t>
            </w:r>
          </w:p>
        </w:tc>
      </w:tr>
      <w:tr w:rsidR="0008333D" w:rsidRPr="00551E56" w14:paraId="690A53B8" w14:textId="77777777" w:rsidTr="0008333D">
        <w:trPr>
          <w:trHeight w:val="397"/>
        </w:trPr>
        <w:tc>
          <w:tcPr>
            <w:tcW w:w="1316" w:type="dxa"/>
            <w:shd w:val="clear" w:color="auto" w:fill="auto"/>
          </w:tcPr>
          <w:p w14:paraId="4F1F3504" w14:textId="64A1BA33" w:rsidR="0008333D" w:rsidRPr="002A60C3" w:rsidRDefault="0008333D" w:rsidP="00AB2211">
            <w:pPr>
              <w:pStyle w:val="mainbody"/>
              <w:spacing w:line="240" w:lineRule="auto"/>
              <w:jc w:val="left"/>
            </w:pPr>
            <w:r w:rsidRPr="006C4608">
              <w:t>F/650/0495</w:t>
            </w:r>
          </w:p>
        </w:tc>
        <w:tc>
          <w:tcPr>
            <w:tcW w:w="5664" w:type="dxa"/>
            <w:gridSpan w:val="2"/>
            <w:shd w:val="clear" w:color="auto" w:fill="auto"/>
          </w:tcPr>
          <w:p w14:paraId="7B41C419" w14:textId="070049BE" w:rsidR="0008333D" w:rsidRDefault="0008333D" w:rsidP="00AB2211">
            <w:pPr>
              <w:pStyle w:val="mainbody"/>
              <w:spacing w:line="240" w:lineRule="auto"/>
              <w:jc w:val="left"/>
            </w:pPr>
            <w:r w:rsidRPr="0081226C">
              <w:t>Fixing steel in situ in the workplace</w:t>
            </w:r>
          </w:p>
        </w:tc>
        <w:tc>
          <w:tcPr>
            <w:tcW w:w="925" w:type="dxa"/>
            <w:shd w:val="clear" w:color="auto" w:fill="auto"/>
          </w:tcPr>
          <w:p w14:paraId="250CF7A2" w14:textId="1248D35B" w:rsidR="0008333D" w:rsidRDefault="0008333D" w:rsidP="00AB2211">
            <w:pPr>
              <w:pStyle w:val="mainbody"/>
              <w:spacing w:line="240" w:lineRule="auto"/>
              <w:jc w:val="center"/>
              <w:rPr>
                <w:color w:val="000000" w:themeColor="text1"/>
              </w:rPr>
            </w:pPr>
            <w:r w:rsidRPr="00F67F3F">
              <w:t>2</w:t>
            </w:r>
          </w:p>
        </w:tc>
        <w:tc>
          <w:tcPr>
            <w:tcW w:w="1057" w:type="dxa"/>
            <w:shd w:val="clear" w:color="auto" w:fill="auto"/>
          </w:tcPr>
          <w:p w14:paraId="7D84C1C3" w14:textId="69BB934F" w:rsidR="0008333D" w:rsidRDefault="0008333D" w:rsidP="00AB2211">
            <w:pPr>
              <w:pStyle w:val="mainbody"/>
              <w:spacing w:line="240" w:lineRule="auto"/>
              <w:jc w:val="center"/>
              <w:rPr>
                <w:color w:val="000000" w:themeColor="text1"/>
              </w:rPr>
            </w:pPr>
            <w:r w:rsidRPr="00F67F3F">
              <w:t>22</w:t>
            </w:r>
          </w:p>
        </w:tc>
      </w:tr>
      <w:tr w:rsidR="0008333D" w:rsidRPr="00551E56" w14:paraId="47000EE9" w14:textId="77777777" w:rsidTr="0008333D">
        <w:trPr>
          <w:trHeight w:val="397"/>
        </w:trPr>
        <w:tc>
          <w:tcPr>
            <w:tcW w:w="1316" w:type="dxa"/>
            <w:shd w:val="clear" w:color="auto" w:fill="auto"/>
          </w:tcPr>
          <w:p w14:paraId="6DFEAB52" w14:textId="2CF227C9" w:rsidR="0008333D" w:rsidRPr="002F4F4B" w:rsidRDefault="0008333D" w:rsidP="00AB2211">
            <w:pPr>
              <w:pStyle w:val="mainbody"/>
              <w:spacing w:line="240" w:lineRule="auto"/>
              <w:jc w:val="left"/>
            </w:pPr>
            <w:r w:rsidRPr="006C4608">
              <w:t>D/650/0494</w:t>
            </w:r>
          </w:p>
        </w:tc>
        <w:tc>
          <w:tcPr>
            <w:tcW w:w="5664" w:type="dxa"/>
            <w:gridSpan w:val="2"/>
            <w:shd w:val="clear" w:color="auto" w:fill="auto"/>
          </w:tcPr>
          <w:p w14:paraId="5DFF4A1F" w14:textId="3F48A95E" w:rsidR="0008333D" w:rsidRPr="009F1438" w:rsidRDefault="0008333D" w:rsidP="00AB2211">
            <w:pPr>
              <w:pStyle w:val="mainbody"/>
              <w:spacing w:line="240" w:lineRule="auto"/>
              <w:jc w:val="left"/>
            </w:pPr>
            <w:r w:rsidRPr="0081226C">
              <w:t>Prefabricating reinforcement steel sections in the workplace</w:t>
            </w:r>
          </w:p>
        </w:tc>
        <w:tc>
          <w:tcPr>
            <w:tcW w:w="925" w:type="dxa"/>
            <w:shd w:val="clear" w:color="auto" w:fill="auto"/>
          </w:tcPr>
          <w:p w14:paraId="25CB5F4E" w14:textId="4C70DF00" w:rsidR="0008333D" w:rsidRDefault="0008333D" w:rsidP="00AB2211">
            <w:pPr>
              <w:pStyle w:val="mainbody"/>
              <w:spacing w:line="240" w:lineRule="auto"/>
              <w:jc w:val="center"/>
              <w:rPr>
                <w:color w:val="000000" w:themeColor="text1"/>
              </w:rPr>
            </w:pPr>
            <w:r w:rsidRPr="00F67F3F">
              <w:t>2</w:t>
            </w:r>
          </w:p>
        </w:tc>
        <w:tc>
          <w:tcPr>
            <w:tcW w:w="1057" w:type="dxa"/>
            <w:shd w:val="clear" w:color="auto" w:fill="auto"/>
          </w:tcPr>
          <w:p w14:paraId="0613F73A" w14:textId="10B1DCE5" w:rsidR="0008333D" w:rsidRDefault="0008333D" w:rsidP="00AB2211">
            <w:pPr>
              <w:pStyle w:val="mainbody"/>
              <w:spacing w:line="240" w:lineRule="auto"/>
              <w:jc w:val="center"/>
              <w:rPr>
                <w:color w:val="000000" w:themeColor="text1"/>
              </w:rPr>
            </w:pPr>
            <w:r w:rsidRPr="00F67F3F">
              <w:t>25</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8333D"/>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2CAC"/>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4</cp:revision>
  <dcterms:created xsi:type="dcterms:W3CDTF">2021-11-17T06:54:00Z</dcterms:created>
  <dcterms:modified xsi:type="dcterms:W3CDTF">2021-11-17T07:18:00Z</dcterms:modified>
</cp:coreProperties>
</file>