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9179F" w14:textId="77777777" w:rsidR="000F1168" w:rsidRDefault="00C438DF" w:rsidP="003A1DFC">
      <w:pPr>
        <w:pStyle w:val="Heading"/>
      </w:pPr>
      <w:r>
        <w:t xml:space="preserve">Qualification </w:t>
      </w:r>
      <w:r w:rsidR="0027141B">
        <w:t>T</w:t>
      </w:r>
      <w:r>
        <w:t xml:space="preserve">itle: </w:t>
      </w:r>
    </w:p>
    <w:p w14:paraId="398DF79B" w14:textId="77777777" w:rsidR="000C4F0F" w:rsidRDefault="000C4F0F" w:rsidP="003A1DFC">
      <w:pPr>
        <w:pStyle w:val="Heading"/>
      </w:pPr>
      <w:r w:rsidRPr="000C4F0F">
        <w:t xml:space="preserve">GQA Level 2 Certificate in Understanding Domestic Retrofit </w:t>
      </w:r>
      <w:r w:rsidRPr="000C4F0F">
        <w:tab/>
      </w:r>
    </w:p>
    <w:p w14:paraId="73D30DF5" w14:textId="2761778D" w:rsidR="00EE3744" w:rsidRDefault="0027141B" w:rsidP="003A1DFC">
      <w:pPr>
        <w:pStyle w:val="Heading"/>
      </w:pPr>
      <w:r w:rsidRPr="0027141B">
        <w:t>Qualification Number</w:t>
      </w:r>
      <w:r w:rsidR="00C438DF">
        <w:t xml:space="preserve">: </w:t>
      </w:r>
      <w:r w:rsidR="000C4F0F" w:rsidRPr="000C4F0F">
        <w:t>610/2654/2</w:t>
      </w: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069CF59B" w14:textId="5470B232" w:rsidR="000C4F0F" w:rsidRDefault="000C4F0F" w:rsidP="000C4F0F">
      <w:pPr>
        <w:pStyle w:val="mainbody"/>
      </w:pPr>
      <w:r>
        <w:t>The aim of this qualification is to ensure the candidate understands Domestic Retrofit including:</w:t>
      </w:r>
    </w:p>
    <w:p w14:paraId="29AD1BE2" w14:textId="7819AA69" w:rsidR="009975F3" w:rsidRDefault="000C4F0F" w:rsidP="009975F3">
      <w:pPr>
        <w:pStyle w:val="mainbody"/>
      </w:pPr>
      <w:r>
        <w:t>•</w:t>
      </w:r>
      <w:r>
        <w:tab/>
      </w:r>
      <w:r w:rsidR="009975F3">
        <w:t>Principles and purpose of Domestic Retrofit</w:t>
      </w:r>
    </w:p>
    <w:p w14:paraId="71138238" w14:textId="77777777" w:rsidR="009975F3" w:rsidRDefault="009975F3" w:rsidP="009975F3">
      <w:pPr>
        <w:pStyle w:val="mainbody"/>
      </w:pPr>
      <w:r>
        <w:t>•</w:t>
      </w:r>
      <w:r>
        <w:tab/>
        <w:t>Regulations and Legislation relevant to Retrofit activities</w:t>
      </w:r>
    </w:p>
    <w:p w14:paraId="14778560" w14:textId="77777777" w:rsidR="009975F3" w:rsidRDefault="009975F3" w:rsidP="009975F3">
      <w:pPr>
        <w:pStyle w:val="mainbody"/>
      </w:pPr>
      <w:r>
        <w:t>•</w:t>
      </w:r>
      <w:r>
        <w:tab/>
        <w:t xml:space="preserve">Health and Safety requirements </w:t>
      </w:r>
    </w:p>
    <w:p w14:paraId="48445E0F" w14:textId="77777777" w:rsidR="009975F3" w:rsidRDefault="009975F3" w:rsidP="009975F3">
      <w:pPr>
        <w:pStyle w:val="mainbody"/>
      </w:pPr>
      <w:r>
        <w:t>•</w:t>
      </w:r>
      <w:r>
        <w:tab/>
        <w:t>Materials and approaches used</w:t>
      </w:r>
    </w:p>
    <w:p w14:paraId="01D94968" w14:textId="77777777" w:rsidR="009975F3" w:rsidRDefault="009975F3" w:rsidP="009975F3">
      <w:pPr>
        <w:pStyle w:val="mainbody"/>
      </w:pPr>
      <w:r>
        <w:t>•</w:t>
      </w:r>
      <w:r>
        <w:tab/>
        <w:t>Risks and challenges associated with Retrofit activities</w:t>
      </w:r>
    </w:p>
    <w:p w14:paraId="406E98B3" w14:textId="07E1DA19" w:rsidR="000F1168" w:rsidRDefault="009975F3" w:rsidP="009975F3">
      <w:pPr>
        <w:pStyle w:val="mainbody"/>
      </w:pPr>
      <w:r>
        <w:t>•</w:t>
      </w:r>
      <w:r>
        <w:tab/>
        <w:t>How to evaluate the effectiveness of Retrofit activities and projects</w:t>
      </w:r>
    </w:p>
    <w:p w14:paraId="429ADA53" w14:textId="0C26BB5B" w:rsidR="007A2514" w:rsidRDefault="001B4B75" w:rsidP="006B65DB">
      <w:pPr>
        <w:pStyle w:val="mainbody"/>
      </w:pPr>
      <w:r>
        <w:t xml:space="preserve">This qualification is at Level </w:t>
      </w:r>
      <w:proofErr w:type="gramStart"/>
      <w:r w:rsidR="000C4F0F">
        <w:t>2</w:t>
      </w:r>
      <w:r>
        <w:t>, and</w:t>
      </w:r>
      <w:proofErr w:type="gramEnd"/>
      <w:r>
        <w:t xml:space="preserve"> </w:t>
      </w:r>
      <w:r w:rsidR="000C4F0F">
        <w:t>is a “knowledge only” qualification aimed at giv</w:t>
      </w:r>
      <w:r w:rsidR="009975F3">
        <w:t xml:space="preserve">ing </w:t>
      </w:r>
      <w:r w:rsidR="000C4F0F">
        <w:t xml:space="preserve"> individuals a theoretical understanding of Retrofit activities. </w:t>
      </w:r>
    </w:p>
    <w:p w14:paraId="5BA0FEFA" w14:textId="77777777" w:rsidR="001B4B75" w:rsidRPr="00AC5090" w:rsidRDefault="001B4B75"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56D0C2EE" w:rsidR="00530347" w:rsidRDefault="00C438DF" w:rsidP="00326F15">
      <w:pPr>
        <w:pStyle w:val="mainbody"/>
      </w:pPr>
      <w:r>
        <w:t xml:space="preserve">There are no formal entry requirements for learners undertaking this qualification.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7A636915" w:rsidR="009C46BB" w:rsidRDefault="009C46BB" w:rsidP="00326F15">
      <w:pPr>
        <w:pStyle w:val="mainbody"/>
      </w:pPr>
      <w:r>
        <w:t xml:space="preserve">This qualification has been designed and developed by </w:t>
      </w:r>
      <w:r w:rsidR="000F1168">
        <w:t xml:space="preserve">GQA Qualifications with industry support. </w:t>
      </w: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38150842" w:rsidR="00530347" w:rsidRDefault="00C438DF" w:rsidP="00326F15">
            <w:pPr>
              <w:pStyle w:val="mainbody"/>
            </w:pPr>
            <w:r>
              <w:t>England</w:t>
            </w:r>
            <w:r w:rsidR="000F1168">
              <w:t>, Scotland</w:t>
            </w:r>
            <w:r w:rsidR="005E1BAB">
              <w:t xml:space="preserve"> </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608B0142" w:rsidR="00530347" w:rsidRDefault="00A55E01" w:rsidP="00326F15">
            <w:pPr>
              <w:pStyle w:val="mainbody"/>
            </w:pPr>
            <w:r w:rsidRPr="00A55E01">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5CE7CABE" w:rsidR="00530347" w:rsidRDefault="000F1168" w:rsidP="00326F15">
            <w:pPr>
              <w:pStyle w:val="mainbody"/>
            </w:pPr>
            <w:r>
              <w:t xml:space="preserve">Transportation Operations and Maintenance </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6C054280" w:rsidR="00530347" w:rsidRDefault="000C4F0F" w:rsidP="00961063">
            <w:pPr>
              <w:pStyle w:val="mainbody"/>
            </w:pPr>
            <w:r>
              <w:t>19/05/2023</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4576395F" w:rsidR="00530347" w:rsidRDefault="000D459B" w:rsidP="00326F15">
            <w:pPr>
              <w:pStyle w:val="mainbody"/>
            </w:pPr>
            <w:r>
              <w:t>16-18, 1</w:t>
            </w:r>
            <w:r w:rsidR="000F1168">
              <w:t>8</w:t>
            </w:r>
            <w:r>
              <w:t>+</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D513F4D"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w:t>
      </w:r>
      <w:r w:rsidR="00270383">
        <w:rPr>
          <w:rFonts w:eastAsia="Calibri"/>
        </w:rPr>
        <w:t>12 O’clock Court</w:t>
      </w:r>
      <w:r>
        <w:rPr>
          <w:rFonts w:eastAsia="Calibri"/>
        </w:rPr>
        <w:t xml:space="preserv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lastRenderedPageBreak/>
        <w:t xml:space="preserve">Qualification achievement </w:t>
      </w:r>
    </w:p>
    <w:p w14:paraId="5E58EF87" w14:textId="03AC59B3" w:rsidR="0036706C" w:rsidRDefault="000C4F0F" w:rsidP="0036706C">
      <w:pPr>
        <w:pStyle w:val="mainbody"/>
      </w:pPr>
      <w:r>
        <w:t>The knowledge only q</w:t>
      </w:r>
      <w:r w:rsidR="00983A3F">
        <w:t xml:space="preserve">ualification </w:t>
      </w:r>
      <w:r w:rsidR="000F1168">
        <w:t xml:space="preserve">consists of 1 </w:t>
      </w:r>
      <w:r w:rsidR="001B4B75">
        <w:t>mandatory unit</w:t>
      </w:r>
      <w:r w:rsidR="000F1168">
        <w:t xml:space="preserve">. </w:t>
      </w:r>
      <w:r w:rsidR="001B4B75">
        <w:t>The mandatory unit</w:t>
      </w:r>
      <w:r w:rsidR="000F1168">
        <w:t xml:space="preserve"> has </w:t>
      </w:r>
      <w:r w:rsidR="001B4B75">
        <w:t xml:space="preserve">a credit value of </w:t>
      </w:r>
      <w:r>
        <w:t>3</w:t>
      </w:r>
      <w:r w:rsidR="001B4B75">
        <w:t xml:space="preserve"> credits.</w:t>
      </w:r>
    </w:p>
    <w:p w14:paraId="3A802BCD" w14:textId="77777777" w:rsidR="001B4B75" w:rsidRDefault="001B4B75" w:rsidP="0036706C">
      <w:pPr>
        <w:pStyle w:val="mainbody"/>
      </w:pPr>
    </w:p>
    <w:p w14:paraId="3932B0A8" w14:textId="58D0484A" w:rsidR="008E7AAF" w:rsidRDefault="008E7AAF" w:rsidP="00326F15">
      <w:pPr>
        <w:pStyle w:val="mainbody"/>
      </w:pPr>
      <w:r>
        <w:t xml:space="preserve">Qualifications are now required to indicate the total qualification time (TQT), this is to show the typical time it will take someone to attain the required skills and knowledge to meet the qualification criteria. </w:t>
      </w:r>
      <w:r w:rsidR="00270383">
        <w:t xml:space="preserve">The TQT for this qualification is </w:t>
      </w:r>
      <w:r w:rsidR="000C4F0F">
        <w:t xml:space="preserve">24 </w:t>
      </w:r>
      <w:r w:rsidR="00270383">
        <w:t>hours.</w:t>
      </w:r>
    </w:p>
    <w:p w14:paraId="64E1046B" w14:textId="3B13F85C" w:rsidR="00270383" w:rsidRDefault="00270383" w:rsidP="00270383">
      <w:pPr>
        <w:pStyle w:val="mainbody"/>
      </w:pPr>
      <w:r w:rsidRPr="00D27896">
        <w:t xml:space="preserve">Qualifications are also required to indicate the number of hours of teaching someone would normally need to receive in order to achieve the qualification. These are referred to as Guided Learning Hours (GLH). The GLH for this qualification is </w:t>
      </w:r>
      <w:r w:rsidR="000F1168">
        <w:t>1</w:t>
      </w:r>
      <w:r w:rsidR="000C4F0F">
        <w:t>2</w:t>
      </w:r>
      <w:r>
        <w:t>.</w:t>
      </w:r>
    </w:p>
    <w:p w14:paraId="68AFE8DB" w14:textId="77777777" w:rsidR="008E7AAF" w:rsidRDefault="008E7AAF" w:rsidP="00326F15">
      <w:pPr>
        <w:pStyle w:val="mainbody"/>
      </w:pPr>
    </w:p>
    <w:p w14:paraId="782CF183" w14:textId="57ED967F" w:rsidR="00CB0FAA" w:rsidRDefault="008E7AAF" w:rsidP="00652C1F">
      <w:pPr>
        <w:pStyle w:val="mainbody"/>
      </w:pPr>
      <w:r w:rsidRPr="00C40496">
        <w:t>The unit of assessment set</w:t>
      </w:r>
      <w:r w:rsidR="000F1168">
        <w:t>s</w:t>
      </w:r>
      <w:r w:rsidRPr="00C40496">
        <w:t xml:space="preserve"> out learning outcomes which describe what learners need to be able to do and understand. The learning outcomes are defined by assessment criteria which are used to assess competence, expressed as skills achieved and learned knowledge and understanding, to achieve the </w:t>
      </w:r>
      <w:proofErr w:type="spellStart"/>
      <w:r w:rsidRPr="00C40496">
        <w:t>units.GQA</w:t>
      </w:r>
      <w:proofErr w:type="spellEnd"/>
      <w:r w:rsidRPr="00C40496">
        <w:t xml:space="preserve"> Qualifications will issue a certificate complete with the learner’s name, the qualification and unit title and the credits achieved.</w:t>
      </w:r>
    </w:p>
    <w:p w14:paraId="4D806D8F" w14:textId="77777777" w:rsidR="00FD7179" w:rsidRDefault="00FD7179">
      <w:pPr>
        <w:spacing w:after="160"/>
        <w:ind w:left="0" w:firstLine="0"/>
        <w:jc w:val="left"/>
        <w:rPr>
          <w:rFonts w:asciiTheme="minorHAnsi" w:hAnsiTheme="minorHAnsi" w:cs="Calibri"/>
          <w:b/>
          <w:noProof/>
          <w:color w:val="00B050"/>
          <w:sz w:val="24"/>
          <w:szCs w:val="28"/>
        </w:rPr>
      </w:pPr>
    </w:p>
    <w:p w14:paraId="2D5B4E29" w14:textId="7377E14A" w:rsidR="009C46BB" w:rsidRDefault="009C46BB" w:rsidP="009C46BB">
      <w:pPr>
        <w:pStyle w:val="Heading1"/>
      </w:pPr>
      <w:r w:rsidRPr="00D80D05">
        <w:t>Qualification Structure</w:t>
      </w:r>
    </w:p>
    <w:tbl>
      <w:tblPr>
        <w:tblStyle w:val="TableGrid"/>
        <w:tblW w:w="8962"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316"/>
        <w:gridCol w:w="1713"/>
        <w:gridCol w:w="3951"/>
        <w:gridCol w:w="925"/>
        <w:gridCol w:w="1057"/>
      </w:tblGrid>
      <w:tr w:rsidR="00093096" w:rsidRPr="00551E56" w14:paraId="0F155AE6" w14:textId="77777777" w:rsidTr="00FD7179">
        <w:trPr>
          <w:trHeight w:val="443"/>
        </w:trPr>
        <w:tc>
          <w:tcPr>
            <w:tcW w:w="3029"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5933" w:type="dxa"/>
            <w:gridSpan w:val="3"/>
            <w:shd w:val="clear" w:color="auto" w:fill="auto"/>
            <w:vAlign w:val="center"/>
          </w:tcPr>
          <w:p w14:paraId="4555FE9B" w14:textId="4F46F6B1" w:rsidR="00093096" w:rsidRPr="00551E56" w:rsidRDefault="000C4F0F" w:rsidP="00CB0FAA">
            <w:pPr>
              <w:pStyle w:val="mainbody"/>
              <w:spacing w:line="240" w:lineRule="auto"/>
              <w:rPr>
                <w:color w:val="000000" w:themeColor="text1"/>
              </w:rPr>
            </w:pPr>
            <w:r w:rsidRPr="000C4F0F">
              <w:t xml:space="preserve">GQA Level 2 Certificate in Understanding Domestic Retrofit </w:t>
            </w:r>
            <w:r w:rsidRPr="000C4F0F">
              <w:tab/>
            </w:r>
          </w:p>
        </w:tc>
      </w:tr>
      <w:tr w:rsidR="00093096" w:rsidRPr="00551E56" w14:paraId="0652D060" w14:textId="77777777" w:rsidTr="00FD7179">
        <w:trPr>
          <w:trHeight w:val="443"/>
        </w:trPr>
        <w:tc>
          <w:tcPr>
            <w:tcW w:w="3029"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5933" w:type="dxa"/>
            <w:gridSpan w:val="3"/>
            <w:shd w:val="clear" w:color="auto" w:fill="auto"/>
            <w:vAlign w:val="center"/>
          </w:tcPr>
          <w:p w14:paraId="4040859E" w14:textId="24C41184" w:rsidR="00093096" w:rsidRPr="00551E56" w:rsidRDefault="000C4F0F" w:rsidP="002369F6">
            <w:pPr>
              <w:pStyle w:val="mainbody"/>
              <w:spacing w:line="240" w:lineRule="auto"/>
              <w:rPr>
                <w:color w:val="000000" w:themeColor="text1"/>
              </w:rPr>
            </w:pPr>
            <w:r w:rsidRPr="000C4F0F">
              <w:t>610/2654/2</w:t>
            </w:r>
          </w:p>
        </w:tc>
      </w:tr>
      <w:tr w:rsidR="00093096" w:rsidRPr="00551E56" w14:paraId="6AB53780" w14:textId="77777777" w:rsidTr="00FD7179">
        <w:trPr>
          <w:trHeight w:val="443"/>
        </w:trPr>
        <w:tc>
          <w:tcPr>
            <w:tcW w:w="3029"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5933" w:type="dxa"/>
            <w:gridSpan w:val="3"/>
            <w:shd w:val="clear" w:color="auto" w:fill="auto"/>
            <w:vAlign w:val="center"/>
          </w:tcPr>
          <w:p w14:paraId="4226EF40" w14:textId="17DDBC4A" w:rsidR="00093096" w:rsidRPr="00551E56" w:rsidRDefault="000C4F0F" w:rsidP="002369F6">
            <w:pPr>
              <w:pStyle w:val="mainbody"/>
              <w:spacing w:line="240" w:lineRule="auto"/>
              <w:rPr>
                <w:color w:val="000000" w:themeColor="text1"/>
              </w:rPr>
            </w:pPr>
            <w:r>
              <w:rPr>
                <w:color w:val="000000" w:themeColor="text1"/>
              </w:rPr>
              <w:t>3</w:t>
            </w:r>
          </w:p>
        </w:tc>
      </w:tr>
      <w:tr w:rsidR="00093096" w:rsidRPr="00551E56" w14:paraId="11C9E5FD" w14:textId="77777777" w:rsidTr="00FD7179">
        <w:trPr>
          <w:trHeight w:val="443"/>
        </w:trPr>
        <w:tc>
          <w:tcPr>
            <w:tcW w:w="3029"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5933" w:type="dxa"/>
            <w:gridSpan w:val="3"/>
            <w:shd w:val="clear" w:color="auto" w:fill="auto"/>
            <w:vAlign w:val="center"/>
          </w:tcPr>
          <w:p w14:paraId="535F804D" w14:textId="7366F6D3" w:rsidR="00093096" w:rsidRPr="00551E56" w:rsidRDefault="000C4F0F" w:rsidP="002369F6">
            <w:pPr>
              <w:pStyle w:val="mainbody"/>
              <w:spacing w:line="240" w:lineRule="auto"/>
              <w:rPr>
                <w:color w:val="000000" w:themeColor="text1"/>
              </w:rPr>
            </w:pPr>
            <w:r>
              <w:rPr>
                <w:color w:val="000000" w:themeColor="text1"/>
              </w:rPr>
              <w:t>24</w:t>
            </w:r>
          </w:p>
        </w:tc>
      </w:tr>
      <w:tr w:rsidR="003902E2" w:rsidRPr="00551E56" w14:paraId="37DD148B" w14:textId="77777777" w:rsidTr="00FD7179">
        <w:trPr>
          <w:trHeight w:val="454"/>
        </w:trPr>
        <w:tc>
          <w:tcPr>
            <w:tcW w:w="1316"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5664"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25"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057"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FD7179">
        <w:trPr>
          <w:trHeight w:val="397"/>
        </w:trPr>
        <w:tc>
          <w:tcPr>
            <w:tcW w:w="8962" w:type="dxa"/>
            <w:gridSpan w:val="5"/>
            <w:shd w:val="clear" w:color="000000" w:fill="FFFFFF"/>
            <w:vAlign w:val="bottom"/>
          </w:tcPr>
          <w:p w14:paraId="3769EBF8" w14:textId="3BBDC680" w:rsidR="00093096" w:rsidRPr="00901060" w:rsidRDefault="00093096" w:rsidP="002369F6">
            <w:pPr>
              <w:pStyle w:val="mainbody"/>
              <w:rPr>
                <w:b/>
                <w:bCs/>
              </w:rPr>
            </w:pPr>
            <w:r w:rsidRPr="00901060">
              <w:rPr>
                <w:b/>
                <w:bCs/>
              </w:rPr>
              <w:t>Mandatory Unit</w:t>
            </w:r>
          </w:p>
        </w:tc>
      </w:tr>
      <w:tr w:rsidR="000F1168" w:rsidRPr="003716B1" w14:paraId="23226B67" w14:textId="77777777" w:rsidTr="000F1168">
        <w:trPr>
          <w:trHeight w:val="228"/>
        </w:trPr>
        <w:tc>
          <w:tcPr>
            <w:tcW w:w="1316" w:type="dxa"/>
            <w:shd w:val="clear" w:color="000000" w:fill="FFFFFF"/>
            <w:vAlign w:val="center"/>
          </w:tcPr>
          <w:p w14:paraId="3079E722" w14:textId="78CFD362" w:rsidR="000F1168" w:rsidRDefault="000C4F0F" w:rsidP="00270383">
            <w:pPr>
              <w:pStyle w:val="mainbody"/>
              <w:spacing w:line="240" w:lineRule="auto"/>
              <w:jc w:val="left"/>
            </w:pPr>
            <w:r w:rsidRPr="000C4F0F">
              <w:t>D/650/7145</w:t>
            </w:r>
          </w:p>
        </w:tc>
        <w:tc>
          <w:tcPr>
            <w:tcW w:w="5664" w:type="dxa"/>
            <w:gridSpan w:val="2"/>
            <w:vMerge w:val="restart"/>
            <w:shd w:val="clear" w:color="000000" w:fill="FFFFFF"/>
            <w:vAlign w:val="center"/>
          </w:tcPr>
          <w:p w14:paraId="4FA4D386" w14:textId="36CAF4DA" w:rsidR="000F1168" w:rsidRDefault="000C4F0F" w:rsidP="00270383">
            <w:pPr>
              <w:pStyle w:val="mainbody"/>
              <w:spacing w:line="240" w:lineRule="auto"/>
              <w:jc w:val="left"/>
            </w:pPr>
            <w:r w:rsidRPr="000C4F0F">
              <w:t>Understanding Domestic Retrofit</w:t>
            </w:r>
          </w:p>
        </w:tc>
        <w:tc>
          <w:tcPr>
            <w:tcW w:w="925" w:type="dxa"/>
            <w:vMerge w:val="restart"/>
            <w:shd w:val="clear" w:color="000000" w:fill="FFFFFF"/>
            <w:vAlign w:val="center"/>
          </w:tcPr>
          <w:p w14:paraId="0153A329" w14:textId="3FA5F969" w:rsidR="000F1168" w:rsidRDefault="000C4F0F" w:rsidP="00270383">
            <w:pPr>
              <w:pStyle w:val="mainbody"/>
              <w:spacing w:line="240" w:lineRule="auto"/>
              <w:jc w:val="center"/>
            </w:pPr>
            <w:r>
              <w:t>2</w:t>
            </w:r>
          </w:p>
        </w:tc>
        <w:tc>
          <w:tcPr>
            <w:tcW w:w="1057" w:type="dxa"/>
            <w:vMerge w:val="restart"/>
            <w:shd w:val="clear" w:color="000000" w:fill="FFFFFF"/>
            <w:vAlign w:val="center"/>
          </w:tcPr>
          <w:p w14:paraId="00A70975" w14:textId="7D5C45C2" w:rsidR="000F1168" w:rsidRDefault="000C4F0F" w:rsidP="00270383">
            <w:pPr>
              <w:pStyle w:val="mainbody"/>
              <w:spacing w:line="240" w:lineRule="auto"/>
              <w:jc w:val="center"/>
            </w:pPr>
            <w:r>
              <w:t>3</w:t>
            </w:r>
          </w:p>
        </w:tc>
      </w:tr>
      <w:tr w:rsidR="000F1168" w:rsidRPr="003716B1" w14:paraId="7C07DB40" w14:textId="77777777" w:rsidTr="00FD7179">
        <w:trPr>
          <w:trHeight w:val="228"/>
        </w:trPr>
        <w:tc>
          <w:tcPr>
            <w:tcW w:w="1316" w:type="dxa"/>
            <w:shd w:val="clear" w:color="000000" w:fill="FFFFFF"/>
            <w:vAlign w:val="center"/>
          </w:tcPr>
          <w:p w14:paraId="559B4F0B" w14:textId="1BFD8761" w:rsidR="000F1168" w:rsidRDefault="000C4F0F" w:rsidP="00270383">
            <w:pPr>
              <w:pStyle w:val="mainbody"/>
              <w:spacing w:line="240" w:lineRule="auto"/>
              <w:jc w:val="left"/>
            </w:pPr>
            <w:r>
              <w:t>UDR1</w:t>
            </w:r>
          </w:p>
        </w:tc>
        <w:tc>
          <w:tcPr>
            <w:tcW w:w="5664" w:type="dxa"/>
            <w:gridSpan w:val="2"/>
            <w:vMerge/>
            <w:shd w:val="clear" w:color="000000" w:fill="FFFFFF"/>
            <w:vAlign w:val="center"/>
          </w:tcPr>
          <w:p w14:paraId="4234451E" w14:textId="77777777" w:rsidR="000F1168" w:rsidRPr="000F1168" w:rsidRDefault="000F1168" w:rsidP="00270383">
            <w:pPr>
              <w:pStyle w:val="mainbody"/>
              <w:spacing w:line="240" w:lineRule="auto"/>
              <w:jc w:val="left"/>
            </w:pPr>
          </w:p>
        </w:tc>
        <w:tc>
          <w:tcPr>
            <w:tcW w:w="925" w:type="dxa"/>
            <w:vMerge/>
            <w:shd w:val="clear" w:color="000000" w:fill="FFFFFF"/>
            <w:vAlign w:val="center"/>
          </w:tcPr>
          <w:p w14:paraId="6A4C6DDB" w14:textId="77777777" w:rsidR="000F1168" w:rsidRDefault="000F1168" w:rsidP="00270383">
            <w:pPr>
              <w:pStyle w:val="mainbody"/>
              <w:spacing w:line="240" w:lineRule="auto"/>
              <w:jc w:val="center"/>
            </w:pPr>
          </w:p>
        </w:tc>
        <w:tc>
          <w:tcPr>
            <w:tcW w:w="1057" w:type="dxa"/>
            <w:vMerge/>
            <w:shd w:val="clear" w:color="000000" w:fill="FFFFFF"/>
            <w:vAlign w:val="center"/>
          </w:tcPr>
          <w:p w14:paraId="111F6239" w14:textId="77777777" w:rsidR="000F1168" w:rsidRDefault="000F1168" w:rsidP="00270383">
            <w:pPr>
              <w:pStyle w:val="mainbody"/>
              <w:spacing w:line="240" w:lineRule="auto"/>
              <w:jc w:val="center"/>
            </w:pPr>
          </w:p>
        </w:tc>
      </w:tr>
    </w:tbl>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6AEE" w14:textId="77777777" w:rsidR="00B34FE0" w:rsidRDefault="00B34FE0">
      <w:pPr>
        <w:spacing w:after="0" w:line="240" w:lineRule="auto"/>
      </w:pPr>
      <w:r>
        <w:separator/>
      </w:r>
    </w:p>
  </w:endnote>
  <w:endnote w:type="continuationSeparator" w:id="0">
    <w:p w14:paraId="38DC7E27" w14:textId="77777777" w:rsidR="00B34FE0" w:rsidRDefault="00B3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723C0" w14:textId="77777777" w:rsidR="00B34FE0" w:rsidRDefault="00B34FE0">
      <w:pPr>
        <w:spacing w:after="0" w:line="240" w:lineRule="auto"/>
      </w:pPr>
      <w:r>
        <w:separator/>
      </w:r>
    </w:p>
  </w:footnote>
  <w:footnote w:type="continuationSeparator" w:id="0">
    <w:p w14:paraId="3DE729B1" w14:textId="77777777" w:rsidR="00B34FE0" w:rsidRDefault="00B34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7044292">
    <w:abstractNumId w:val="0"/>
  </w:num>
  <w:num w:numId="2" w16cid:durableId="99030013">
    <w:abstractNumId w:val="10"/>
  </w:num>
  <w:num w:numId="3" w16cid:durableId="192812043">
    <w:abstractNumId w:val="15"/>
  </w:num>
  <w:num w:numId="4" w16cid:durableId="1642466116">
    <w:abstractNumId w:val="20"/>
  </w:num>
  <w:num w:numId="5" w16cid:durableId="117115345">
    <w:abstractNumId w:val="2"/>
  </w:num>
  <w:num w:numId="6" w16cid:durableId="579876116">
    <w:abstractNumId w:val="1"/>
  </w:num>
  <w:num w:numId="7" w16cid:durableId="1526479621">
    <w:abstractNumId w:val="19"/>
  </w:num>
  <w:num w:numId="8" w16cid:durableId="705443861">
    <w:abstractNumId w:val="3"/>
  </w:num>
  <w:num w:numId="9" w16cid:durableId="1680502164">
    <w:abstractNumId w:val="9"/>
  </w:num>
  <w:num w:numId="10" w16cid:durableId="1154639185">
    <w:abstractNumId w:val="13"/>
  </w:num>
  <w:num w:numId="11" w16cid:durableId="27142407">
    <w:abstractNumId w:val="5"/>
  </w:num>
  <w:num w:numId="12" w16cid:durableId="1025131092">
    <w:abstractNumId w:val="17"/>
  </w:num>
  <w:num w:numId="13" w16cid:durableId="1467045503">
    <w:abstractNumId w:val="12"/>
  </w:num>
  <w:num w:numId="14" w16cid:durableId="1948536475">
    <w:abstractNumId w:val="7"/>
  </w:num>
  <w:num w:numId="15" w16cid:durableId="210390243">
    <w:abstractNumId w:val="14"/>
  </w:num>
  <w:num w:numId="16" w16cid:durableId="1153329927">
    <w:abstractNumId w:val="6"/>
  </w:num>
  <w:num w:numId="17" w16cid:durableId="1112357444">
    <w:abstractNumId w:val="4"/>
  </w:num>
  <w:num w:numId="18" w16cid:durableId="1051422304">
    <w:abstractNumId w:val="18"/>
  </w:num>
  <w:num w:numId="19" w16cid:durableId="1869904885">
    <w:abstractNumId w:val="8"/>
  </w:num>
  <w:num w:numId="20" w16cid:durableId="1173380312">
    <w:abstractNumId w:val="21"/>
  </w:num>
  <w:num w:numId="21" w16cid:durableId="1124039026">
    <w:abstractNumId w:val="16"/>
  </w:num>
  <w:num w:numId="22" w16cid:durableId="20144118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1741E"/>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4F0F"/>
    <w:rsid w:val="000C5F1E"/>
    <w:rsid w:val="000D1149"/>
    <w:rsid w:val="000D459B"/>
    <w:rsid w:val="000D5162"/>
    <w:rsid w:val="000F1168"/>
    <w:rsid w:val="000F2875"/>
    <w:rsid w:val="000F3794"/>
    <w:rsid w:val="00105947"/>
    <w:rsid w:val="00106037"/>
    <w:rsid w:val="00106AC4"/>
    <w:rsid w:val="00107A0A"/>
    <w:rsid w:val="00122A92"/>
    <w:rsid w:val="00131D8F"/>
    <w:rsid w:val="00133A94"/>
    <w:rsid w:val="00143D98"/>
    <w:rsid w:val="0014481F"/>
    <w:rsid w:val="0014556C"/>
    <w:rsid w:val="00151DA3"/>
    <w:rsid w:val="00164799"/>
    <w:rsid w:val="00170195"/>
    <w:rsid w:val="00172A83"/>
    <w:rsid w:val="001861CB"/>
    <w:rsid w:val="00187B54"/>
    <w:rsid w:val="00190C2A"/>
    <w:rsid w:val="001923C1"/>
    <w:rsid w:val="001965AC"/>
    <w:rsid w:val="0019730A"/>
    <w:rsid w:val="001B4B75"/>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0383"/>
    <w:rsid w:val="0027141B"/>
    <w:rsid w:val="0027473E"/>
    <w:rsid w:val="002908EE"/>
    <w:rsid w:val="002A2C32"/>
    <w:rsid w:val="002B587E"/>
    <w:rsid w:val="002D6811"/>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56A0E"/>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679D1"/>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85AAB"/>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45404"/>
    <w:rsid w:val="007563D4"/>
    <w:rsid w:val="0076139A"/>
    <w:rsid w:val="0076252D"/>
    <w:rsid w:val="00765D04"/>
    <w:rsid w:val="00766C39"/>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6924"/>
    <w:rsid w:val="00827E42"/>
    <w:rsid w:val="008377CB"/>
    <w:rsid w:val="00864665"/>
    <w:rsid w:val="00865010"/>
    <w:rsid w:val="00877C2B"/>
    <w:rsid w:val="00880070"/>
    <w:rsid w:val="0088470B"/>
    <w:rsid w:val="00884967"/>
    <w:rsid w:val="008B33EB"/>
    <w:rsid w:val="008B53F2"/>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1BDE"/>
    <w:rsid w:val="00983A3F"/>
    <w:rsid w:val="00984138"/>
    <w:rsid w:val="00986D5C"/>
    <w:rsid w:val="00992C15"/>
    <w:rsid w:val="00993392"/>
    <w:rsid w:val="00994911"/>
    <w:rsid w:val="009971A8"/>
    <w:rsid w:val="009975F3"/>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5E01"/>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785C"/>
    <w:rsid w:val="00AE6151"/>
    <w:rsid w:val="00AF148E"/>
    <w:rsid w:val="00B06065"/>
    <w:rsid w:val="00B06321"/>
    <w:rsid w:val="00B07C13"/>
    <w:rsid w:val="00B11B22"/>
    <w:rsid w:val="00B128D5"/>
    <w:rsid w:val="00B217D6"/>
    <w:rsid w:val="00B239C8"/>
    <w:rsid w:val="00B2587A"/>
    <w:rsid w:val="00B34FE0"/>
    <w:rsid w:val="00B37AA8"/>
    <w:rsid w:val="00B408C2"/>
    <w:rsid w:val="00B50C6C"/>
    <w:rsid w:val="00B51435"/>
    <w:rsid w:val="00B52FB4"/>
    <w:rsid w:val="00B55EE1"/>
    <w:rsid w:val="00B8023C"/>
    <w:rsid w:val="00B92666"/>
    <w:rsid w:val="00B957AE"/>
    <w:rsid w:val="00BA2083"/>
    <w:rsid w:val="00BA2D2F"/>
    <w:rsid w:val="00BA351F"/>
    <w:rsid w:val="00BB2B93"/>
    <w:rsid w:val="00BC1C78"/>
    <w:rsid w:val="00BD346E"/>
    <w:rsid w:val="00BD6F0E"/>
    <w:rsid w:val="00BE2993"/>
    <w:rsid w:val="00BF4D0E"/>
    <w:rsid w:val="00BF7710"/>
    <w:rsid w:val="00C024A6"/>
    <w:rsid w:val="00C05171"/>
    <w:rsid w:val="00C06204"/>
    <w:rsid w:val="00C22B34"/>
    <w:rsid w:val="00C23FAB"/>
    <w:rsid w:val="00C27775"/>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0C3"/>
    <w:rsid w:val="00CB3631"/>
    <w:rsid w:val="00CB4C19"/>
    <w:rsid w:val="00CC21F7"/>
    <w:rsid w:val="00CD0010"/>
    <w:rsid w:val="00CD31A6"/>
    <w:rsid w:val="00CD4B4C"/>
    <w:rsid w:val="00CE2E2E"/>
    <w:rsid w:val="00CF72FF"/>
    <w:rsid w:val="00D13108"/>
    <w:rsid w:val="00D15926"/>
    <w:rsid w:val="00D15A92"/>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A621B"/>
    <w:rsid w:val="00DB7FE6"/>
    <w:rsid w:val="00DC5B6A"/>
    <w:rsid w:val="00DD6736"/>
    <w:rsid w:val="00DE05D5"/>
    <w:rsid w:val="00DE1250"/>
    <w:rsid w:val="00DF069A"/>
    <w:rsid w:val="00DF203B"/>
    <w:rsid w:val="00DF4BF0"/>
    <w:rsid w:val="00DF5757"/>
    <w:rsid w:val="00E16CB3"/>
    <w:rsid w:val="00E20339"/>
    <w:rsid w:val="00E35775"/>
    <w:rsid w:val="00E360ED"/>
    <w:rsid w:val="00E41C2E"/>
    <w:rsid w:val="00E4259A"/>
    <w:rsid w:val="00E52EC4"/>
    <w:rsid w:val="00E54D1D"/>
    <w:rsid w:val="00E55187"/>
    <w:rsid w:val="00E620D1"/>
    <w:rsid w:val="00E66B0D"/>
    <w:rsid w:val="00E7188B"/>
    <w:rsid w:val="00E74199"/>
    <w:rsid w:val="00EA113A"/>
    <w:rsid w:val="00EA118A"/>
    <w:rsid w:val="00EB49E8"/>
    <w:rsid w:val="00EB4ABB"/>
    <w:rsid w:val="00EB59AE"/>
    <w:rsid w:val="00EB76ED"/>
    <w:rsid w:val="00EC0F54"/>
    <w:rsid w:val="00EC62A5"/>
    <w:rsid w:val="00EE2964"/>
    <w:rsid w:val="00EE3744"/>
    <w:rsid w:val="00EE7374"/>
    <w:rsid w:val="00EF242E"/>
    <w:rsid w:val="00F00764"/>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C55F3"/>
    <w:rsid w:val="00FD0384"/>
    <w:rsid w:val="00FD044A"/>
    <w:rsid w:val="00FD7179"/>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Sean Hayes</cp:lastModifiedBy>
  <cp:revision>2</cp:revision>
  <dcterms:created xsi:type="dcterms:W3CDTF">2023-05-16T15:09:00Z</dcterms:created>
  <dcterms:modified xsi:type="dcterms:W3CDTF">2023-05-16T15:09:00Z</dcterms:modified>
</cp:coreProperties>
</file>