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CCDB2" w14:textId="77777777" w:rsidR="004647B8" w:rsidRDefault="004647B8" w:rsidP="00131996">
      <w:pPr>
        <w:pStyle w:val="Heading"/>
        <w:jc w:val="center"/>
      </w:pPr>
    </w:p>
    <w:p w14:paraId="56DAB7B5" w14:textId="31A6D6D7" w:rsidR="00131996" w:rsidRDefault="00131996" w:rsidP="00131996">
      <w:pPr>
        <w:pStyle w:val="Heading"/>
        <w:jc w:val="center"/>
      </w:pPr>
      <w:r w:rsidRPr="00131996">
        <w:t>Qualification Specification</w:t>
      </w:r>
    </w:p>
    <w:p w14:paraId="3498DDC8" w14:textId="4986565C" w:rsidR="000F1642" w:rsidRDefault="000F1642" w:rsidP="000F1642">
      <w:pPr>
        <w:pStyle w:val="Heading"/>
        <w:jc w:val="center"/>
      </w:pPr>
      <w:r w:rsidRPr="000F1642">
        <w:t xml:space="preserve">GQA Level </w:t>
      </w:r>
      <w:r w:rsidR="00F33C37">
        <w:t>6 NVQ Diploma in Construction Contracting Operations Management v2</w:t>
      </w:r>
      <w:r w:rsidRPr="000F1642">
        <w:t xml:space="preserve"> </w:t>
      </w:r>
    </w:p>
    <w:p w14:paraId="4AE1BD92" w14:textId="2FA5938B" w:rsidR="00131996" w:rsidRDefault="0027141B" w:rsidP="003A1DFC">
      <w:pPr>
        <w:pStyle w:val="Heading"/>
      </w:pPr>
      <w:r w:rsidRPr="0027141B">
        <w:t>Qualification Number</w:t>
      </w:r>
      <w:r w:rsidR="00C438DF">
        <w:t xml:space="preserve">: </w:t>
      </w:r>
      <w:r w:rsidR="0027482F">
        <w:t>610/</w:t>
      </w:r>
      <w:r w:rsidR="00F33C37">
        <w:t>3746</w:t>
      </w:r>
      <w:r w:rsidR="0027482F">
        <w:t>/</w:t>
      </w:r>
      <w:r w:rsidR="00F33C37">
        <w:t>1</w:t>
      </w:r>
    </w:p>
    <w:p w14:paraId="445C8225" w14:textId="77777777" w:rsidR="0027482F" w:rsidRDefault="0027482F" w:rsidP="00FB31CF">
      <w:pPr>
        <w:pStyle w:val="NoSpacing"/>
      </w:pPr>
    </w:p>
    <w:p w14:paraId="4D89E150" w14:textId="35C8FDD2" w:rsidR="00530347" w:rsidRDefault="00C438DF" w:rsidP="009C46BB">
      <w:pPr>
        <w:pStyle w:val="Heading1"/>
      </w:pPr>
      <w:r w:rsidRPr="00D80D05">
        <w:t xml:space="preserve">Who is this qualification for? </w:t>
      </w:r>
    </w:p>
    <w:p w14:paraId="7E916280" w14:textId="3E6D2384" w:rsidR="00F33C37" w:rsidRDefault="00F33C37" w:rsidP="00DE3646">
      <w:pPr>
        <w:pStyle w:val="mainbody"/>
      </w:pPr>
      <w:bookmarkStart w:id="0" w:name="_Hlk159401952"/>
      <w:r w:rsidRPr="00F33C37">
        <w:t>The qualification has been developed</w:t>
      </w:r>
      <w:r w:rsidR="00DE3646">
        <w:t xml:space="preserve"> to enable individuals to demonstrate their skills, knowledge and understanding within Construction Contracting Operations Management </w:t>
      </w:r>
      <w:r w:rsidR="00615CE7">
        <w:t>in</w:t>
      </w:r>
      <w:r w:rsidR="00DE3646">
        <w:t xml:space="preserve"> the Construction Industry. </w:t>
      </w:r>
    </w:p>
    <w:p w14:paraId="2FB801E4" w14:textId="77777777" w:rsidR="00DE3646" w:rsidRPr="00F33C37" w:rsidRDefault="00DE3646" w:rsidP="00DE3646">
      <w:pPr>
        <w:pStyle w:val="NoSpacing"/>
      </w:pPr>
    </w:p>
    <w:p w14:paraId="2A7CCF99" w14:textId="6E1F004B" w:rsidR="00F33C37" w:rsidRDefault="00F33C37" w:rsidP="00F33C37">
      <w:pPr>
        <w:pStyle w:val="mainbody"/>
      </w:pPr>
      <w:r w:rsidRPr="00F33C37">
        <w:t xml:space="preserve">Achievement of this qualification enables </w:t>
      </w:r>
      <w:r w:rsidR="00615CE7">
        <w:t>individuals</w:t>
      </w:r>
      <w:r w:rsidRPr="00F33C37">
        <w:t xml:space="preserve"> to demonstrate and recognise skills, knowledge and understanding and to demonstrate competence in a real workplace environment.</w:t>
      </w:r>
    </w:p>
    <w:p w14:paraId="623ABA03" w14:textId="77777777" w:rsidR="00615CE7" w:rsidRDefault="00615CE7" w:rsidP="00615CE7">
      <w:pPr>
        <w:pStyle w:val="NoSpacing"/>
      </w:pPr>
    </w:p>
    <w:p w14:paraId="15CAB80C" w14:textId="64A681CD" w:rsidR="00DE3646" w:rsidRDefault="00DE3646" w:rsidP="00DE3646">
      <w:pPr>
        <w:pStyle w:val="mainbody"/>
      </w:pPr>
      <w:r>
        <w:t>Individual</w:t>
      </w:r>
      <w:r w:rsidR="00615CE7">
        <w:t>s</w:t>
      </w:r>
      <w:r>
        <w:t xml:space="preserve"> will learn practical skills and knowledge in areas such as:</w:t>
      </w:r>
    </w:p>
    <w:p w14:paraId="1FE981DC" w14:textId="77777777" w:rsidR="00DE3646" w:rsidRDefault="00DE3646" w:rsidP="00DE3646">
      <w:pPr>
        <w:pStyle w:val="NoSpacing"/>
      </w:pPr>
    </w:p>
    <w:p w14:paraId="78430DB3" w14:textId="6F3DDC54" w:rsidR="00DE3646" w:rsidRDefault="00DE3646" w:rsidP="00DE3646">
      <w:pPr>
        <w:pStyle w:val="mainbody"/>
        <w:numPr>
          <w:ilvl w:val="0"/>
          <w:numId w:val="23"/>
        </w:numPr>
      </w:pPr>
      <w:r>
        <w:t>Maintaining Health, Safety and Welfare</w:t>
      </w:r>
    </w:p>
    <w:p w14:paraId="654E4ED4" w14:textId="6F4DCCBD" w:rsidR="00DE3646" w:rsidRDefault="00DE3646" w:rsidP="00DE3646">
      <w:pPr>
        <w:pStyle w:val="mainbody"/>
        <w:numPr>
          <w:ilvl w:val="0"/>
          <w:numId w:val="23"/>
        </w:numPr>
      </w:pPr>
      <w:r>
        <w:t>Planning, allocating and monitoring work in their area of responsibility</w:t>
      </w:r>
    </w:p>
    <w:p w14:paraId="21D77400" w14:textId="3F743527" w:rsidR="00DE3646" w:rsidRDefault="00DE3646" w:rsidP="00DE3646">
      <w:pPr>
        <w:pStyle w:val="mainbody"/>
        <w:numPr>
          <w:ilvl w:val="0"/>
          <w:numId w:val="23"/>
        </w:numPr>
      </w:pPr>
      <w:r>
        <w:t>Chair meetings and take decisions in construction contracting operations management</w:t>
      </w:r>
    </w:p>
    <w:p w14:paraId="61B06DBB" w14:textId="0074B863" w:rsidR="00DE3646" w:rsidRPr="00DE3646" w:rsidRDefault="00DE3646" w:rsidP="00DE3646">
      <w:pPr>
        <w:pStyle w:val="mainbody"/>
        <w:numPr>
          <w:ilvl w:val="0"/>
          <w:numId w:val="23"/>
        </w:numPr>
      </w:pPr>
      <w:r>
        <w:t xml:space="preserve">Develop and maintain working relationships and personal development in Construction Contracting Operations Management </w:t>
      </w:r>
    </w:p>
    <w:p w14:paraId="1134E73E" w14:textId="77777777" w:rsidR="00F33C37" w:rsidRPr="00B55D3E" w:rsidRDefault="00F33C37" w:rsidP="00F33C37">
      <w:pPr>
        <w:pStyle w:val="NoSpacing"/>
        <w:rPr>
          <w:rFonts w:asciiTheme="minorHAnsi" w:hAnsiTheme="minorHAnsi" w:cstheme="minorHAnsi"/>
        </w:rPr>
      </w:pPr>
    </w:p>
    <w:p w14:paraId="65FDBC6B" w14:textId="3F9191DA" w:rsidR="00F33C37" w:rsidRPr="00DE3646" w:rsidRDefault="00F33C37" w:rsidP="00DE3646">
      <w:pPr>
        <w:pStyle w:val="NoSpacing"/>
      </w:pPr>
      <w:r w:rsidRPr="00DE3646">
        <w:rPr>
          <w:rFonts w:asciiTheme="minorHAnsi" w:hAnsiTheme="minorHAnsi" w:cstheme="minorHAnsi"/>
          <w:sz w:val="22"/>
        </w:rPr>
        <w:t xml:space="preserve">This qualification is at Level </w:t>
      </w:r>
      <w:r w:rsidR="00DE3646" w:rsidRPr="00DE3646">
        <w:rPr>
          <w:rFonts w:asciiTheme="minorHAnsi" w:hAnsiTheme="minorHAnsi" w:cstheme="minorHAnsi"/>
          <w:sz w:val="22"/>
        </w:rPr>
        <w:t>6</w:t>
      </w:r>
      <w:r w:rsidR="00DE3646">
        <w:rPr>
          <w:rFonts w:asciiTheme="minorHAnsi" w:hAnsiTheme="minorHAnsi" w:cstheme="minorHAnsi"/>
          <w:sz w:val="22"/>
        </w:rPr>
        <w:t xml:space="preserve">. </w:t>
      </w:r>
    </w:p>
    <w:bookmarkEnd w:id="0"/>
    <w:p w14:paraId="51FBD1E9" w14:textId="77777777" w:rsidR="00BB5373" w:rsidRPr="00BB5373" w:rsidRDefault="00BB5373" w:rsidP="009408EF">
      <w:pPr>
        <w:pStyle w:val="BodyText"/>
      </w:pPr>
    </w:p>
    <w:p w14:paraId="35AFC46B" w14:textId="11EFCC45" w:rsidR="000F1642" w:rsidRDefault="006515EA" w:rsidP="007A52B3">
      <w:pPr>
        <w:pStyle w:val="Heading1"/>
        <w:rPr>
          <w:rFonts w:eastAsia="Times New Roman"/>
          <w:b w:val="0"/>
          <w:noProof w:val="0"/>
          <w:color w:val="auto"/>
          <w:sz w:val="22"/>
          <w:szCs w:val="20"/>
        </w:rPr>
      </w:pPr>
      <w:r>
        <w:rPr>
          <w:rFonts w:eastAsia="Times New Roman"/>
          <w:b w:val="0"/>
          <w:noProof w:val="0"/>
          <w:color w:val="auto"/>
          <w:sz w:val="22"/>
          <w:szCs w:val="20"/>
        </w:rPr>
        <w:t>T</w:t>
      </w:r>
      <w:r w:rsidR="000F1642" w:rsidRPr="000F1642">
        <w:rPr>
          <w:rFonts w:eastAsia="Times New Roman"/>
          <w:b w:val="0"/>
          <w:noProof w:val="0"/>
          <w:color w:val="auto"/>
          <w:sz w:val="22"/>
          <w:szCs w:val="20"/>
        </w:rPr>
        <w:t>here is a suite of other construction specific qualifications in a wide range of occupations available through GQA.</w:t>
      </w:r>
    </w:p>
    <w:p w14:paraId="4D80E695" w14:textId="77777777" w:rsidR="00BB5373" w:rsidRPr="00BB5373" w:rsidRDefault="00BB5373" w:rsidP="009408EF">
      <w:pPr>
        <w:pStyle w:val="BodyText"/>
      </w:pPr>
    </w:p>
    <w:p w14:paraId="2CC288D4" w14:textId="208F54AA" w:rsidR="00530347" w:rsidRPr="00FE639E" w:rsidRDefault="00C438DF" w:rsidP="007A52B3">
      <w:pPr>
        <w:pStyle w:val="Heading1"/>
      </w:pPr>
      <w:r w:rsidRPr="00FE639E">
        <w:t xml:space="preserve">Entry requirements </w:t>
      </w:r>
    </w:p>
    <w:p w14:paraId="3E07E5A9" w14:textId="4AF3E0B1" w:rsidR="00530347" w:rsidRDefault="000F1642" w:rsidP="00326F15">
      <w:pPr>
        <w:pStyle w:val="mainbody"/>
      </w:pPr>
      <w:r>
        <w:t>T</w:t>
      </w:r>
      <w:r w:rsidR="00C438DF">
        <w:t>here are no formal entry requirements for learners undertaking this qualification</w:t>
      </w:r>
      <w:r>
        <w:t>, however individuals must be carrying out a role that will enable them to show they have the required competence and knowledge to meet the qualification aims</w:t>
      </w:r>
      <w:r w:rsidR="00EB6591">
        <w:t xml:space="preserve"> </w:t>
      </w:r>
    </w:p>
    <w:p w14:paraId="7762BEAA" w14:textId="77777777" w:rsidR="00FD0384" w:rsidRDefault="00FD0384" w:rsidP="009408EF">
      <w:pPr>
        <w:pStyle w:val="BodyText"/>
      </w:pPr>
    </w:p>
    <w:p w14:paraId="5CA5F410" w14:textId="45B9064E" w:rsidR="009C46BB" w:rsidRPr="00D80D05" w:rsidRDefault="009C46BB" w:rsidP="009C46BB">
      <w:pPr>
        <w:pStyle w:val="Heading1"/>
      </w:pPr>
      <w:r w:rsidRPr="00D80D05">
        <w:t xml:space="preserve">Qualification support </w:t>
      </w:r>
    </w:p>
    <w:p w14:paraId="72328887" w14:textId="540844C1" w:rsidR="009408EF" w:rsidRDefault="009C46BB" w:rsidP="00326F15">
      <w:pPr>
        <w:pStyle w:val="mainbody"/>
      </w:pPr>
      <w:r>
        <w:t xml:space="preserve">This qualification has been designed and developed by </w:t>
      </w:r>
      <w:r w:rsidR="000F1168">
        <w:t xml:space="preserve">GQA Qualifications with industry support. </w:t>
      </w:r>
    </w:p>
    <w:p w14:paraId="7FA61C48" w14:textId="77777777" w:rsidR="009408EF" w:rsidRDefault="009408EF" w:rsidP="009408EF">
      <w:pPr>
        <w:pStyle w:val="BodyText"/>
      </w:pPr>
    </w:p>
    <w:p w14:paraId="110992FE" w14:textId="77777777" w:rsidR="003B6677" w:rsidRDefault="003B6677" w:rsidP="009408EF">
      <w:pPr>
        <w:pStyle w:val="BodyText"/>
      </w:pPr>
    </w:p>
    <w:p w14:paraId="7EE6B2C5" w14:textId="77777777" w:rsidR="00AD641B" w:rsidRDefault="00AD641B" w:rsidP="009408EF">
      <w:pPr>
        <w:pStyle w:val="BodyText"/>
      </w:pPr>
    </w:p>
    <w:p w14:paraId="0E0E517C" w14:textId="77777777" w:rsidR="00AD641B" w:rsidRDefault="00AD641B" w:rsidP="009408EF">
      <w:pPr>
        <w:pStyle w:val="BodyText"/>
      </w:pPr>
    </w:p>
    <w:p w14:paraId="2322678B" w14:textId="77777777" w:rsidR="004B4F57" w:rsidRDefault="004B4F57" w:rsidP="009408EF">
      <w:pPr>
        <w:pStyle w:val="BodyText"/>
      </w:pPr>
    </w:p>
    <w:p w14:paraId="4A5A73DF" w14:textId="77777777" w:rsidR="004B4F57" w:rsidRDefault="004B4F57" w:rsidP="009408EF">
      <w:pPr>
        <w:pStyle w:val="BodyText"/>
      </w:pPr>
    </w:p>
    <w:p w14:paraId="07BD6043" w14:textId="5AB1EC8B" w:rsidR="00530347" w:rsidRDefault="00C438DF" w:rsidP="009C46BB">
      <w:pPr>
        <w:pStyle w:val="Heading1"/>
      </w:pPr>
      <w:r w:rsidRPr="00D80D05">
        <w:lastRenderedPageBreak/>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460D3E4E" w:rsidR="00530347" w:rsidRDefault="00C438DF" w:rsidP="00326F15">
            <w:pPr>
              <w:pStyle w:val="mainbody"/>
            </w:pPr>
            <w:r>
              <w:t>England</w:t>
            </w:r>
            <w:r w:rsidR="000F1168">
              <w:t xml:space="preserve">, </w:t>
            </w:r>
            <w:r w:rsidR="00EB6591">
              <w:t>N. Ireland</w:t>
            </w:r>
            <w:r w:rsidR="005E1BAB">
              <w:t xml:space="preserve"> </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4EFB6D87" w:rsidR="00530347" w:rsidRDefault="006515EA" w:rsidP="00326F15">
            <w:pPr>
              <w:pStyle w:val="mainbody"/>
            </w:pPr>
            <w:r>
              <w:t>Occupational</w:t>
            </w:r>
            <w:r w:rsidR="00EB6591">
              <w:t xml:space="preserve"> q</w:t>
            </w:r>
            <w:r w:rsidR="00A55E01" w:rsidRPr="00A55E01">
              <w:t>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3E30F75B" w:rsidR="00530347" w:rsidRDefault="006515EA" w:rsidP="00326F15">
            <w:pPr>
              <w:pStyle w:val="mainbody"/>
            </w:pPr>
            <w:r>
              <w:t>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01EE6375" w:rsidR="00530347" w:rsidRDefault="0027482F" w:rsidP="00961063">
            <w:pPr>
              <w:pStyle w:val="mainbody"/>
            </w:pPr>
            <w:r>
              <w:t>01/0</w:t>
            </w:r>
            <w:r w:rsidR="00F33C37">
              <w:t>4</w:t>
            </w:r>
            <w:r>
              <w:t>/2024</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7C1183D2" w:rsidR="00530347" w:rsidRDefault="00577163" w:rsidP="00326F15">
            <w:pPr>
              <w:pStyle w:val="mainbody"/>
            </w:pPr>
            <w:r>
              <w:t>18+</w:t>
            </w:r>
          </w:p>
        </w:tc>
      </w:tr>
    </w:tbl>
    <w:p w14:paraId="41B7A6FD" w14:textId="77777777" w:rsidR="0027482F" w:rsidRDefault="0027482F" w:rsidP="009C46BB">
      <w:pPr>
        <w:pStyle w:val="Heading1"/>
      </w:pPr>
    </w:p>
    <w:p w14:paraId="2DFE9B1A" w14:textId="59D8A1C5"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D513F4D"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270383">
        <w:rPr>
          <w:rFonts w:eastAsia="Calibri"/>
        </w:rPr>
        <w:t>12 O’clock Court</w:t>
      </w:r>
      <w:r>
        <w:rPr>
          <w:rFonts w:eastAsia="Calibri"/>
        </w:rPr>
        <w:t xml:space="preserve">, Sheffield S4 7WW. </w:t>
      </w:r>
    </w:p>
    <w:p w14:paraId="61AB17EF" w14:textId="3F0B8741" w:rsidR="00530347" w:rsidRDefault="009E2FD5" w:rsidP="00326F15">
      <w:pPr>
        <w:pStyle w:val="mainbody"/>
      </w:pPr>
      <w:r>
        <w:rPr>
          <w:rFonts w:eastAsia="Calibri"/>
        </w:rPr>
        <w:t>Tel 01142 720033, email to info@gqaqualifications.com</w:t>
      </w:r>
    </w:p>
    <w:p w14:paraId="0C06E84E" w14:textId="77777777" w:rsidR="0027482F" w:rsidRDefault="0027482F" w:rsidP="009408EF">
      <w:pPr>
        <w:pStyle w:val="BodyText"/>
      </w:pPr>
    </w:p>
    <w:p w14:paraId="7BC21745" w14:textId="5EA21B87" w:rsidR="00530347" w:rsidRPr="00D80D05" w:rsidRDefault="00C438DF" w:rsidP="009C46BB">
      <w:pPr>
        <w:pStyle w:val="Heading1"/>
      </w:pPr>
      <w:r w:rsidRPr="00D80D05">
        <w:t xml:space="preserve">Qualification achievement </w:t>
      </w:r>
    </w:p>
    <w:p w14:paraId="5E58EF87" w14:textId="275D8324" w:rsidR="0036706C" w:rsidRDefault="00EB6591" w:rsidP="0036706C">
      <w:pPr>
        <w:pStyle w:val="mainbody"/>
      </w:pPr>
      <w:r>
        <w:t xml:space="preserve">It </w:t>
      </w:r>
      <w:r w:rsidR="001B4B75">
        <w:t xml:space="preserve">is not expected that all workers will complete </w:t>
      </w:r>
      <w:r w:rsidR="00AD641B">
        <w:t>the same</w:t>
      </w:r>
      <w:r w:rsidR="001B4B75">
        <w:t xml:space="preserve"> tasks, </w:t>
      </w:r>
      <w:r>
        <w:t>so the q</w:t>
      </w:r>
      <w:r w:rsidR="00983A3F">
        <w:t xml:space="preserve">ualification </w:t>
      </w:r>
      <w:r>
        <w:t xml:space="preserve">has been designed to allow flexibility and in turn, as wide an uptake as possible. </w:t>
      </w:r>
    </w:p>
    <w:p w14:paraId="3753BADE" w14:textId="77777777" w:rsidR="0027482F" w:rsidRDefault="0027482F" w:rsidP="009408EF">
      <w:pPr>
        <w:pStyle w:val="BodyText"/>
      </w:pPr>
    </w:p>
    <w:p w14:paraId="3D7E12F0" w14:textId="47F15E4E" w:rsidR="006515EA" w:rsidRDefault="00EB6591" w:rsidP="0036706C">
      <w:pPr>
        <w:pStyle w:val="mainbody"/>
        <w:contextualSpacing/>
      </w:pPr>
      <w:r>
        <w:t xml:space="preserve">Individuals must complete </w:t>
      </w:r>
      <w:r w:rsidR="000F1642">
        <w:t xml:space="preserve">the </w:t>
      </w:r>
      <w:r w:rsidR="00F33C37">
        <w:t>5</w:t>
      </w:r>
      <w:r w:rsidR="006515EA">
        <w:t xml:space="preserve"> </w:t>
      </w:r>
      <w:r w:rsidR="000F1642">
        <w:t xml:space="preserve">mandatory </w:t>
      </w:r>
      <w:r w:rsidR="0027482F">
        <w:t>unit</w:t>
      </w:r>
      <w:r w:rsidR="00F33C37">
        <w:t>s and a minimum of 4 optional units</w:t>
      </w:r>
      <w:r w:rsidR="0027482F">
        <w:t>.</w:t>
      </w:r>
    </w:p>
    <w:p w14:paraId="1F128571" w14:textId="77777777" w:rsidR="00FD0EFE" w:rsidRDefault="00FD0EFE" w:rsidP="009408EF">
      <w:pPr>
        <w:pStyle w:val="BodyText"/>
      </w:pPr>
    </w:p>
    <w:p w14:paraId="70004792" w14:textId="4C46AE74" w:rsidR="00EB6591" w:rsidRDefault="000F1642" w:rsidP="0036706C">
      <w:pPr>
        <w:pStyle w:val="mainbody"/>
        <w:contextualSpacing/>
      </w:pPr>
      <w:r>
        <w:t>T</w:t>
      </w:r>
      <w:r w:rsidR="00EB6591">
        <w:t xml:space="preserve">he minimum credit value of the qualification is </w:t>
      </w:r>
      <w:r w:rsidR="00F33C37">
        <w:t>115</w:t>
      </w:r>
      <w:r w:rsidR="00EC5486">
        <w:t xml:space="preserve"> </w:t>
      </w:r>
      <w:r w:rsidR="00EB6591">
        <w:t xml:space="preserve">credits. </w:t>
      </w:r>
    </w:p>
    <w:p w14:paraId="40C2FF7A" w14:textId="77777777" w:rsidR="00F33C37" w:rsidRPr="00F33C37" w:rsidRDefault="00F33C37" w:rsidP="00F33C37">
      <w:pPr>
        <w:pStyle w:val="NoSpacing"/>
      </w:pPr>
    </w:p>
    <w:p w14:paraId="11379B39" w14:textId="4CF90F8A" w:rsidR="00F33C37" w:rsidRPr="00F33C37" w:rsidRDefault="00F33C37" w:rsidP="00F33C37">
      <w:pPr>
        <w:pStyle w:val="mainbody"/>
      </w:pPr>
      <w:r w:rsidRPr="00F33C37">
        <w:t xml:space="preserve">Qualifications are now required to indicate the total qualification time (TQT), this is to show the typical time it will take someone to attain the required skills and knowledge to meet the qualification criteria. The TQT for this qualification is </w:t>
      </w:r>
      <w:r>
        <w:t>1150</w:t>
      </w:r>
      <w:r w:rsidRPr="00F33C37">
        <w:t xml:space="preserve"> hours.</w:t>
      </w:r>
    </w:p>
    <w:p w14:paraId="320F54DE" w14:textId="77777777" w:rsidR="00F33C37" w:rsidRDefault="00F33C37" w:rsidP="00F33C37">
      <w:pPr>
        <w:pStyle w:val="NoSpacing"/>
      </w:pPr>
    </w:p>
    <w:p w14:paraId="64E1046B" w14:textId="54A32FFE" w:rsidR="00270383" w:rsidRDefault="00270383" w:rsidP="00270383">
      <w:pPr>
        <w:pStyle w:val="mainbody"/>
      </w:pPr>
      <w:r w:rsidRPr="00D27896">
        <w:t xml:space="preserve">Qualifications are also required to indicate the number of hours of teaching someone would normally need to receive </w:t>
      </w:r>
      <w:r w:rsidR="00AD641B" w:rsidRPr="00D27896">
        <w:t>to</w:t>
      </w:r>
      <w:r w:rsidRPr="00D27896">
        <w:t xml:space="preserve"> achieve the qualification. These are referred to as Guided Learning Hours (GLH). The </w:t>
      </w:r>
      <w:r w:rsidR="000F1642">
        <w:t xml:space="preserve">minimum </w:t>
      </w:r>
      <w:r w:rsidRPr="00D27896">
        <w:t xml:space="preserve">GLH for this qualification </w:t>
      </w:r>
      <w:r w:rsidRPr="00EB118C">
        <w:t xml:space="preserve">is </w:t>
      </w:r>
      <w:r w:rsidR="00F33C37">
        <w:t>510.</w:t>
      </w:r>
    </w:p>
    <w:p w14:paraId="68AFE8DB" w14:textId="77777777" w:rsidR="008E7AAF" w:rsidRDefault="008E7AAF" w:rsidP="009408EF">
      <w:pPr>
        <w:pStyle w:val="BodyText"/>
      </w:pPr>
    </w:p>
    <w:p w14:paraId="782CF183" w14:textId="50779536" w:rsidR="00CB0FAA" w:rsidRDefault="008E7AAF" w:rsidP="00652C1F">
      <w:pPr>
        <w:pStyle w:val="mainbody"/>
      </w:pPr>
      <w:r w:rsidRPr="00C40496">
        <w:t>The unit of assessment set</w:t>
      </w:r>
      <w:r w:rsidR="000F1168">
        <w:t>s</w:t>
      </w:r>
      <w:r w:rsidRPr="00C40496">
        <w:t xml:space="preserve"> out learning outcomes which describe what learners need to be able to do and understand. The learning outcomes are defined by assessment criteria which are used to assess competence, expressed as skills achieved and learned knowledge and understanding, to achieve the units.</w:t>
      </w:r>
      <w:r w:rsidR="009554CF">
        <w:t xml:space="preserve"> </w:t>
      </w:r>
      <w:r w:rsidRPr="00C40496">
        <w:t>GQA Qualifications will issue a certificate complete with the learner’s name, the qualification and unit title and the credits achieved.</w:t>
      </w:r>
    </w:p>
    <w:p w14:paraId="67EDACFC" w14:textId="77777777" w:rsidR="003B6677" w:rsidRDefault="003B6677" w:rsidP="00652C1F">
      <w:pPr>
        <w:pStyle w:val="mainbody"/>
      </w:pPr>
    </w:p>
    <w:p w14:paraId="689517E8" w14:textId="77777777" w:rsidR="003B6677" w:rsidRDefault="003B6677" w:rsidP="00652C1F">
      <w:pPr>
        <w:pStyle w:val="mainbody"/>
      </w:pPr>
    </w:p>
    <w:p w14:paraId="280DCC79" w14:textId="77777777" w:rsidR="004B4F57" w:rsidRDefault="004B4F57" w:rsidP="00652C1F">
      <w:pPr>
        <w:pStyle w:val="mainbody"/>
      </w:pPr>
    </w:p>
    <w:p w14:paraId="2D5B4E29" w14:textId="7377E14A" w:rsidR="009C46BB" w:rsidRDefault="009C46BB" w:rsidP="009C46BB">
      <w:pPr>
        <w:pStyle w:val="Heading1"/>
      </w:pPr>
      <w:r w:rsidRPr="00D80D05">
        <w:lastRenderedPageBreak/>
        <w:t>Qualification Structure</w:t>
      </w:r>
    </w:p>
    <w:tbl>
      <w:tblPr>
        <w:tblStyle w:val="TableGrid"/>
        <w:tblW w:w="9923" w:type="dxa"/>
        <w:tblInd w:w="-14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276"/>
        <w:gridCol w:w="1560"/>
        <w:gridCol w:w="2409"/>
        <w:gridCol w:w="2835"/>
        <w:gridCol w:w="851"/>
        <w:gridCol w:w="992"/>
      </w:tblGrid>
      <w:tr w:rsidR="00093096" w:rsidRPr="00551E56" w14:paraId="0F155AE6" w14:textId="77777777" w:rsidTr="00EC5486">
        <w:trPr>
          <w:trHeight w:val="443"/>
        </w:trPr>
        <w:tc>
          <w:tcPr>
            <w:tcW w:w="2836" w:type="dxa"/>
            <w:gridSpan w:val="2"/>
            <w:shd w:val="clear" w:color="auto" w:fill="E2EFD9" w:themeFill="accent6" w:themeFillTint="33"/>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7087" w:type="dxa"/>
            <w:gridSpan w:val="4"/>
            <w:shd w:val="clear" w:color="auto" w:fill="auto"/>
            <w:vAlign w:val="center"/>
          </w:tcPr>
          <w:p w14:paraId="44269A79" w14:textId="5BA0CA51" w:rsidR="009554CF" w:rsidRDefault="003B6677" w:rsidP="0027482F">
            <w:pPr>
              <w:spacing w:after="0"/>
              <w:ind w:left="0" w:firstLine="0"/>
              <w:jc w:val="left"/>
              <w:rPr>
                <w:rFonts w:ascii="Calibri" w:eastAsia="Times New Roman" w:hAnsi="Calibri" w:cs="Calibri"/>
                <w:b/>
                <w:bCs/>
              </w:rPr>
            </w:pPr>
            <w:r w:rsidRPr="003B6677">
              <w:rPr>
                <w:rFonts w:asciiTheme="minorHAnsi" w:eastAsia="Times New Roman" w:hAnsiTheme="minorHAnsi" w:cs="Calibri"/>
                <w:color w:val="auto"/>
                <w:sz w:val="22"/>
                <w:szCs w:val="20"/>
              </w:rPr>
              <w:t>GQA Level 6 NVQ Diploma In Construction Contracting Operations Management V2</w:t>
            </w:r>
          </w:p>
          <w:p w14:paraId="4555FE9B" w14:textId="65F2E9B1" w:rsidR="00093096" w:rsidRPr="00551E56" w:rsidRDefault="00093096" w:rsidP="00CB0FAA">
            <w:pPr>
              <w:pStyle w:val="mainbody"/>
              <w:spacing w:line="240" w:lineRule="auto"/>
              <w:rPr>
                <w:color w:val="000000" w:themeColor="text1"/>
              </w:rPr>
            </w:pPr>
          </w:p>
        </w:tc>
      </w:tr>
      <w:tr w:rsidR="00093096" w:rsidRPr="00551E56" w14:paraId="0652D060" w14:textId="77777777" w:rsidTr="00EC5486">
        <w:trPr>
          <w:trHeight w:val="443"/>
        </w:trPr>
        <w:tc>
          <w:tcPr>
            <w:tcW w:w="2836" w:type="dxa"/>
            <w:gridSpan w:val="2"/>
            <w:shd w:val="clear" w:color="auto" w:fill="E2EFD9" w:themeFill="accent6" w:themeFillTint="33"/>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7087" w:type="dxa"/>
            <w:gridSpan w:val="4"/>
            <w:shd w:val="clear" w:color="auto" w:fill="auto"/>
            <w:vAlign w:val="center"/>
          </w:tcPr>
          <w:p w14:paraId="4040859E" w14:textId="19217C6A" w:rsidR="00093096" w:rsidRPr="00551E56" w:rsidRDefault="003B6677" w:rsidP="002369F6">
            <w:pPr>
              <w:pStyle w:val="mainbody"/>
              <w:spacing w:line="240" w:lineRule="auto"/>
              <w:rPr>
                <w:color w:val="000000" w:themeColor="text1"/>
              </w:rPr>
            </w:pPr>
            <w:r>
              <w:rPr>
                <w:color w:val="000000" w:themeColor="text1"/>
              </w:rPr>
              <w:t>610/3746/1</w:t>
            </w:r>
          </w:p>
        </w:tc>
      </w:tr>
      <w:tr w:rsidR="009F1F9B" w:rsidRPr="00551E56" w14:paraId="6AB53780" w14:textId="77777777" w:rsidTr="009F1F9B">
        <w:trPr>
          <w:trHeight w:val="443"/>
        </w:trPr>
        <w:tc>
          <w:tcPr>
            <w:tcW w:w="2836" w:type="dxa"/>
            <w:gridSpan w:val="2"/>
            <w:shd w:val="clear" w:color="auto" w:fill="E2EFD9" w:themeFill="accent6" w:themeFillTint="33"/>
            <w:vAlign w:val="center"/>
          </w:tcPr>
          <w:p w14:paraId="32109B6A" w14:textId="77777777" w:rsidR="009F1F9B" w:rsidRPr="00551E56" w:rsidRDefault="009F1F9B" w:rsidP="009F1F9B">
            <w:pPr>
              <w:pStyle w:val="mainbody"/>
              <w:spacing w:line="240" w:lineRule="auto"/>
              <w:jc w:val="center"/>
              <w:rPr>
                <w:b/>
                <w:bCs/>
                <w:color w:val="000000" w:themeColor="text1"/>
              </w:rPr>
            </w:pPr>
            <w:r w:rsidRPr="00551E56">
              <w:rPr>
                <w:b/>
                <w:bCs/>
                <w:color w:val="000000" w:themeColor="text1"/>
              </w:rPr>
              <w:t>Total Credits:</w:t>
            </w:r>
          </w:p>
        </w:tc>
        <w:tc>
          <w:tcPr>
            <w:tcW w:w="2409" w:type="dxa"/>
            <w:shd w:val="clear" w:color="auto" w:fill="auto"/>
            <w:vAlign w:val="center"/>
          </w:tcPr>
          <w:p w14:paraId="3BA044EE" w14:textId="7D067218" w:rsidR="009F1F9B" w:rsidRPr="00551E56" w:rsidRDefault="003B6677" w:rsidP="009F1F9B">
            <w:pPr>
              <w:pStyle w:val="mainbody"/>
              <w:spacing w:line="240" w:lineRule="auto"/>
              <w:jc w:val="center"/>
              <w:rPr>
                <w:color w:val="000000" w:themeColor="text1"/>
              </w:rPr>
            </w:pPr>
            <w:r>
              <w:rPr>
                <w:color w:val="000000" w:themeColor="text1"/>
              </w:rPr>
              <w:t>115</w:t>
            </w:r>
          </w:p>
        </w:tc>
        <w:tc>
          <w:tcPr>
            <w:tcW w:w="2835" w:type="dxa"/>
            <w:shd w:val="clear" w:color="auto" w:fill="E2EFD9" w:themeFill="accent6" w:themeFillTint="33"/>
            <w:vAlign w:val="center"/>
          </w:tcPr>
          <w:p w14:paraId="49887D28" w14:textId="2D466E8D" w:rsidR="009F1F9B" w:rsidRPr="00551E56" w:rsidRDefault="009F1F9B" w:rsidP="009F1F9B">
            <w:pPr>
              <w:pStyle w:val="mainbody"/>
              <w:spacing w:line="240" w:lineRule="auto"/>
              <w:jc w:val="center"/>
              <w:rPr>
                <w:color w:val="000000" w:themeColor="text1"/>
              </w:rPr>
            </w:pPr>
            <w:r w:rsidRPr="000B6D77">
              <w:rPr>
                <w:b/>
                <w:bCs/>
                <w:color w:val="000000" w:themeColor="text1"/>
              </w:rPr>
              <w:t>Guided Learning Hours (GLH)</w:t>
            </w:r>
          </w:p>
        </w:tc>
        <w:tc>
          <w:tcPr>
            <w:tcW w:w="1843" w:type="dxa"/>
            <w:gridSpan w:val="2"/>
            <w:shd w:val="clear" w:color="auto" w:fill="auto"/>
            <w:vAlign w:val="center"/>
          </w:tcPr>
          <w:p w14:paraId="4226EF40" w14:textId="2EF4858D" w:rsidR="009F1F9B" w:rsidRPr="00551E56" w:rsidRDefault="003B6677" w:rsidP="009F1F9B">
            <w:pPr>
              <w:pStyle w:val="mainbody"/>
              <w:spacing w:line="240" w:lineRule="auto"/>
              <w:jc w:val="center"/>
              <w:rPr>
                <w:color w:val="000000" w:themeColor="text1"/>
              </w:rPr>
            </w:pPr>
            <w:r>
              <w:rPr>
                <w:color w:val="000000" w:themeColor="text1"/>
              </w:rPr>
              <w:t>510</w:t>
            </w:r>
          </w:p>
        </w:tc>
      </w:tr>
      <w:tr w:rsidR="002638B4" w:rsidRPr="00551E56" w14:paraId="1AD0892A" w14:textId="77777777" w:rsidTr="00572CC0">
        <w:trPr>
          <w:trHeight w:val="443"/>
        </w:trPr>
        <w:tc>
          <w:tcPr>
            <w:tcW w:w="9923" w:type="dxa"/>
            <w:gridSpan w:val="6"/>
            <w:shd w:val="clear" w:color="auto" w:fill="E2EFD9" w:themeFill="accent6" w:themeFillTint="33"/>
          </w:tcPr>
          <w:p w14:paraId="7110566D" w14:textId="492BB3DE" w:rsidR="002638B4" w:rsidRPr="002638B4" w:rsidRDefault="002638B4" w:rsidP="002638B4">
            <w:pPr>
              <w:pStyle w:val="mainbody"/>
              <w:spacing w:line="240" w:lineRule="auto"/>
              <w:jc w:val="center"/>
              <w:rPr>
                <w:b/>
                <w:bCs/>
                <w:color w:val="000000" w:themeColor="text1"/>
              </w:rPr>
            </w:pPr>
            <w:r>
              <w:rPr>
                <w:b/>
                <w:bCs/>
                <w:color w:val="000000" w:themeColor="text1"/>
              </w:rPr>
              <w:t>Qualification Mandatory Units</w:t>
            </w:r>
          </w:p>
        </w:tc>
      </w:tr>
      <w:tr w:rsidR="00AF0D3C" w:rsidRPr="00551E56" w14:paraId="37DD148B" w14:textId="77777777" w:rsidTr="009F1F9B">
        <w:trPr>
          <w:trHeight w:val="454"/>
        </w:trPr>
        <w:tc>
          <w:tcPr>
            <w:tcW w:w="1276" w:type="dxa"/>
            <w:shd w:val="clear" w:color="auto" w:fill="auto"/>
            <w:vAlign w:val="center"/>
          </w:tcPr>
          <w:p w14:paraId="3CAA7CAA" w14:textId="5CA43CC4" w:rsidR="00AF0D3C" w:rsidRPr="00551E56" w:rsidRDefault="00E06C15" w:rsidP="009F1F9B">
            <w:pPr>
              <w:pStyle w:val="mainbody"/>
              <w:spacing w:line="240" w:lineRule="auto"/>
              <w:jc w:val="center"/>
              <w:rPr>
                <w:b/>
                <w:bCs/>
                <w:color w:val="000000" w:themeColor="text1"/>
              </w:rPr>
            </w:pPr>
            <w:r>
              <w:rPr>
                <w:b/>
                <w:bCs/>
                <w:color w:val="000000" w:themeColor="text1"/>
              </w:rPr>
              <w:t xml:space="preserve">Unit </w:t>
            </w:r>
            <w:r w:rsidR="00E63A4B">
              <w:rPr>
                <w:b/>
                <w:bCs/>
                <w:color w:val="000000" w:themeColor="text1"/>
              </w:rPr>
              <w:t>No</w:t>
            </w:r>
          </w:p>
        </w:tc>
        <w:tc>
          <w:tcPr>
            <w:tcW w:w="1560" w:type="dxa"/>
            <w:shd w:val="clear" w:color="auto" w:fill="auto"/>
            <w:vAlign w:val="center"/>
          </w:tcPr>
          <w:p w14:paraId="7E0D0C09" w14:textId="0E614A88" w:rsidR="00AF0D3C" w:rsidRPr="00551E56" w:rsidRDefault="00E63A4B" w:rsidP="009F1F9B">
            <w:pPr>
              <w:pStyle w:val="mainbody"/>
              <w:spacing w:line="240" w:lineRule="auto"/>
              <w:jc w:val="center"/>
              <w:rPr>
                <w:b/>
                <w:bCs/>
                <w:color w:val="000000" w:themeColor="text1"/>
              </w:rPr>
            </w:pPr>
            <w:r>
              <w:rPr>
                <w:b/>
                <w:bCs/>
                <w:color w:val="000000" w:themeColor="text1"/>
              </w:rPr>
              <w:t>Internal Ref</w:t>
            </w:r>
          </w:p>
        </w:tc>
        <w:tc>
          <w:tcPr>
            <w:tcW w:w="5244" w:type="dxa"/>
            <w:gridSpan w:val="2"/>
            <w:shd w:val="clear" w:color="auto" w:fill="auto"/>
            <w:vAlign w:val="center"/>
          </w:tcPr>
          <w:p w14:paraId="5593BB51" w14:textId="52118C3F" w:rsidR="00AF0D3C" w:rsidRPr="00551E56" w:rsidRDefault="00AF0D3C" w:rsidP="009F1F9B">
            <w:pPr>
              <w:pStyle w:val="mainbody"/>
              <w:spacing w:line="240" w:lineRule="auto"/>
              <w:jc w:val="center"/>
              <w:rPr>
                <w:b/>
                <w:bCs/>
                <w:color w:val="000000" w:themeColor="text1"/>
              </w:rPr>
            </w:pPr>
            <w:r w:rsidRPr="00551E56">
              <w:rPr>
                <w:b/>
                <w:bCs/>
                <w:color w:val="000000" w:themeColor="text1"/>
              </w:rPr>
              <w:t>Title</w:t>
            </w:r>
          </w:p>
        </w:tc>
        <w:tc>
          <w:tcPr>
            <w:tcW w:w="851" w:type="dxa"/>
            <w:shd w:val="clear" w:color="auto" w:fill="auto"/>
            <w:vAlign w:val="center"/>
          </w:tcPr>
          <w:p w14:paraId="1F85EA9E" w14:textId="77777777" w:rsidR="00AF0D3C" w:rsidRPr="00551E56" w:rsidRDefault="00AF0D3C" w:rsidP="009F1F9B">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161828AC" w14:textId="742A780D" w:rsidR="00AF0D3C" w:rsidRPr="00551E56" w:rsidRDefault="00AF0D3C" w:rsidP="009F1F9B">
            <w:pPr>
              <w:pStyle w:val="mainbody"/>
              <w:spacing w:line="240" w:lineRule="auto"/>
              <w:jc w:val="center"/>
              <w:rPr>
                <w:b/>
                <w:bCs/>
                <w:color w:val="000000" w:themeColor="text1"/>
              </w:rPr>
            </w:pPr>
            <w:r w:rsidRPr="00551E56">
              <w:rPr>
                <w:b/>
                <w:bCs/>
                <w:color w:val="000000" w:themeColor="text1"/>
              </w:rPr>
              <w:t>Credit</w:t>
            </w:r>
          </w:p>
        </w:tc>
      </w:tr>
      <w:tr w:rsidR="003B6677" w:rsidRPr="0027482F" w14:paraId="1952FAC3" w14:textId="77777777" w:rsidTr="00D238E6">
        <w:trPr>
          <w:trHeight w:val="454"/>
        </w:trPr>
        <w:tc>
          <w:tcPr>
            <w:tcW w:w="1276" w:type="dxa"/>
            <w:shd w:val="clear" w:color="auto" w:fill="auto"/>
            <w:vAlign w:val="bottom"/>
          </w:tcPr>
          <w:p w14:paraId="2A97828D" w14:textId="1C1F2A8A" w:rsidR="003B6677" w:rsidRPr="003B6677" w:rsidRDefault="003B6677" w:rsidP="003B6677">
            <w:pPr>
              <w:pStyle w:val="mainbody"/>
              <w:spacing w:line="240" w:lineRule="auto"/>
              <w:jc w:val="center"/>
              <w:rPr>
                <w:rFonts w:cstheme="minorHAnsi"/>
                <w:sz w:val="24"/>
                <w:szCs w:val="24"/>
              </w:rPr>
            </w:pPr>
            <w:r w:rsidRPr="003B6677">
              <w:rPr>
                <w:rFonts w:ascii="Calibri" w:hAnsi="Calibri"/>
                <w:sz w:val="20"/>
              </w:rPr>
              <w:t>H/651/0232</w:t>
            </w:r>
          </w:p>
        </w:tc>
        <w:tc>
          <w:tcPr>
            <w:tcW w:w="1560" w:type="dxa"/>
            <w:shd w:val="clear" w:color="auto" w:fill="auto"/>
            <w:vAlign w:val="center"/>
          </w:tcPr>
          <w:p w14:paraId="3E478BD5" w14:textId="72AFBC08" w:rsidR="003B6677" w:rsidRPr="003B6677" w:rsidRDefault="003B6677" w:rsidP="003B6677">
            <w:pPr>
              <w:pStyle w:val="mainbody"/>
              <w:spacing w:line="240" w:lineRule="auto"/>
              <w:jc w:val="center"/>
              <w:rPr>
                <w:rFonts w:cstheme="minorHAnsi"/>
                <w:sz w:val="24"/>
                <w:szCs w:val="24"/>
              </w:rPr>
            </w:pPr>
            <w:r w:rsidRPr="003B6677">
              <w:rPr>
                <w:rFonts w:ascii="Calibri" w:hAnsi="Calibri"/>
                <w:szCs w:val="22"/>
              </w:rPr>
              <w:t>CCOMO01v1</w:t>
            </w:r>
          </w:p>
        </w:tc>
        <w:tc>
          <w:tcPr>
            <w:tcW w:w="5244" w:type="dxa"/>
            <w:gridSpan w:val="2"/>
            <w:shd w:val="clear" w:color="auto" w:fill="auto"/>
            <w:vAlign w:val="center"/>
          </w:tcPr>
          <w:p w14:paraId="59CC3049" w14:textId="5ACD7F2F" w:rsidR="003B6677" w:rsidRPr="003B6677" w:rsidRDefault="003B6677" w:rsidP="003B6677">
            <w:pPr>
              <w:pStyle w:val="mainbody"/>
              <w:spacing w:line="240" w:lineRule="auto"/>
              <w:jc w:val="left"/>
              <w:rPr>
                <w:rFonts w:cstheme="minorHAnsi"/>
                <w:sz w:val="24"/>
                <w:szCs w:val="24"/>
              </w:rPr>
            </w:pPr>
            <w:r w:rsidRPr="003B6677">
              <w:rPr>
                <w:rFonts w:ascii="Calibri" w:hAnsi="Calibri"/>
                <w:szCs w:val="22"/>
              </w:rPr>
              <w:t xml:space="preserve">Maintaining construction health, safety and welfare systems in the workplace </w:t>
            </w:r>
          </w:p>
        </w:tc>
        <w:tc>
          <w:tcPr>
            <w:tcW w:w="851" w:type="dxa"/>
            <w:shd w:val="clear" w:color="auto" w:fill="auto"/>
            <w:vAlign w:val="center"/>
          </w:tcPr>
          <w:p w14:paraId="09654C6C" w14:textId="189506B8" w:rsidR="003B6677" w:rsidRPr="003B6677" w:rsidRDefault="003B6677" w:rsidP="003B6677">
            <w:pPr>
              <w:pStyle w:val="mainbody"/>
              <w:spacing w:line="240" w:lineRule="auto"/>
              <w:jc w:val="center"/>
              <w:rPr>
                <w:rFonts w:cstheme="minorHAnsi"/>
                <w:sz w:val="24"/>
                <w:szCs w:val="24"/>
              </w:rPr>
            </w:pPr>
            <w:r w:rsidRPr="003B6677">
              <w:rPr>
                <w:rFonts w:ascii="Calibri" w:hAnsi="Calibri"/>
                <w:szCs w:val="22"/>
              </w:rPr>
              <w:t>6</w:t>
            </w:r>
          </w:p>
        </w:tc>
        <w:tc>
          <w:tcPr>
            <w:tcW w:w="992" w:type="dxa"/>
            <w:shd w:val="clear" w:color="auto" w:fill="auto"/>
            <w:vAlign w:val="center"/>
          </w:tcPr>
          <w:p w14:paraId="0E316DEE" w14:textId="282F6FC0" w:rsidR="003B6677" w:rsidRPr="003B6677" w:rsidRDefault="003B6677" w:rsidP="003B6677">
            <w:pPr>
              <w:pStyle w:val="mainbody"/>
              <w:spacing w:line="240" w:lineRule="auto"/>
              <w:jc w:val="center"/>
              <w:rPr>
                <w:rFonts w:cstheme="minorHAnsi"/>
                <w:sz w:val="24"/>
                <w:szCs w:val="24"/>
              </w:rPr>
            </w:pPr>
            <w:r w:rsidRPr="003B6677">
              <w:rPr>
                <w:rFonts w:ascii="Calibri" w:hAnsi="Calibri"/>
                <w:szCs w:val="22"/>
              </w:rPr>
              <w:t>10</w:t>
            </w:r>
          </w:p>
        </w:tc>
      </w:tr>
      <w:tr w:rsidR="003B6677" w:rsidRPr="0027482F" w14:paraId="212E991F" w14:textId="77777777" w:rsidTr="00D238E6">
        <w:trPr>
          <w:trHeight w:val="454"/>
        </w:trPr>
        <w:tc>
          <w:tcPr>
            <w:tcW w:w="1276" w:type="dxa"/>
            <w:shd w:val="clear" w:color="auto" w:fill="auto"/>
            <w:vAlign w:val="bottom"/>
          </w:tcPr>
          <w:p w14:paraId="560B7BDB" w14:textId="3EDEE75A" w:rsidR="003B6677" w:rsidRPr="003B6677" w:rsidRDefault="003B6677" w:rsidP="003B6677">
            <w:pPr>
              <w:pStyle w:val="mainbody"/>
              <w:spacing w:line="240" w:lineRule="auto"/>
              <w:jc w:val="center"/>
              <w:rPr>
                <w:rFonts w:cstheme="minorHAnsi"/>
                <w:sz w:val="24"/>
                <w:szCs w:val="24"/>
              </w:rPr>
            </w:pPr>
            <w:r w:rsidRPr="003B6677">
              <w:rPr>
                <w:rFonts w:ascii="Calibri" w:hAnsi="Calibri"/>
                <w:sz w:val="20"/>
              </w:rPr>
              <w:t>J/651/0233</w:t>
            </w:r>
          </w:p>
        </w:tc>
        <w:tc>
          <w:tcPr>
            <w:tcW w:w="1560" w:type="dxa"/>
            <w:shd w:val="clear" w:color="auto" w:fill="auto"/>
            <w:vAlign w:val="center"/>
          </w:tcPr>
          <w:p w14:paraId="119B74A0" w14:textId="085E2FEE" w:rsidR="003B6677" w:rsidRPr="003B6677" w:rsidRDefault="003B6677" w:rsidP="003B6677">
            <w:pPr>
              <w:pStyle w:val="mainbody"/>
              <w:spacing w:line="240" w:lineRule="auto"/>
              <w:jc w:val="center"/>
              <w:rPr>
                <w:rFonts w:cstheme="minorHAnsi"/>
                <w:sz w:val="24"/>
                <w:szCs w:val="24"/>
              </w:rPr>
            </w:pPr>
            <w:r w:rsidRPr="003B6677">
              <w:rPr>
                <w:rFonts w:ascii="Calibri" w:hAnsi="Calibri"/>
                <w:szCs w:val="22"/>
              </w:rPr>
              <w:t>CCOMO02v1</w:t>
            </w:r>
          </w:p>
        </w:tc>
        <w:tc>
          <w:tcPr>
            <w:tcW w:w="5244" w:type="dxa"/>
            <w:gridSpan w:val="2"/>
            <w:shd w:val="clear" w:color="auto" w:fill="auto"/>
            <w:vAlign w:val="center"/>
          </w:tcPr>
          <w:p w14:paraId="13D5DF77" w14:textId="206174D6" w:rsidR="003B6677" w:rsidRPr="003B6677" w:rsidRDefault="003B6677" w:rsidP="003B6677">
            <w:pPr>
              <w:pStyle w:val="mainbody"/>
              <w:spacing w:line="240" w:lineRule="auto"/>
              <w:jc w:val="left"/>
              <w:rPr>
                <w:rFonts w:cstheme="minorHAnsi"/>
                <w:sz w:val="24"/>
                <w:szCs w:val="24"/>
              </w:rPr>
            </w:pPr>
            <w:r w:rsidRPr="003B6677">
              <w:rPr>
                <w:rFonts w:ascii="Calibri" w:hAnsi="Calibri"/>
                <w:szCs w:val="22"/>
              </w:rPr>
              <w:t xml:space="preserve">Managing the performance of teams and individuals in the workplace </w:t>
            </w:r>
          </w:p>
        </w:tc>
        <w:tc>
          <w:tcPr>
            <w:tcW w:w="851" w:type="dxa"/>
            <w:shd w:val="clear" w:color="auto" w:fill="auto"/>
            <w:vAlign w:val="center"/>
          </w:tcPr>
          <w:p w14:paraId="0EEA9AB2" w14:textId="55CBF222" w:rsidR="003B6677" w:rsidRPr="003B6677" w:rsidRDefault="003B6677" w:rsidP="003B6677">
            <w:pPr>
              <w:pStyle w:val="mainbody"/>
              <w:spacing w:line="240" w:lineRule="auto"/>
              <w:jc w:val="center"/>
              <w:rPr>
                <w:rFonts w:cstheme="minorHAnsi"/>
                <w:sz w:val="24"/>
                <w:szCs w:val="24"/>
              </w:rPr>
            </w:pPr>
            <w:r w:rsidRPr="003B6677">
              <w:rPr>
                <w:rFonts w:ascii="Calibri" w:hAnsi="Calibri"/>
                <w:szCs w:val="22"/>
              </w:rPr>
              <w:t>6</w:t>
            </w:r>
          </w:p>
        </w:tc>
        <w:tc>
          <w:tcPr>
            <w:tcW w:w="992" w:type="dxa"/>
            <w:shd w:val="clear" w:color="auto" w:fill="auto"/>
            <w:vAlign w:val="center"/>
          </w:tcPr>
          <w:p w14:paraId="593D568F" w14:textId="0C14EBA1" w:rsidR="003B6677" w:rsidRPr="003B6677" w:rsidRDefault="003B6677" w:rsidP="003B6677">
            <w:pPr>
              <w:pStyle w:val="mainbody"/>
              <w:spacing w:line="240" w:lineRule="auto"/>
              <w:jc w:val="center"/>
              <w:rPr>
                <w:rFonts w:cstheme="minorHAnsi"/>
                <w:sz w:val="24"/>
                <w:szCs w:val="24"/>
              </w:rPr>
            </w:pPr>
            <w:r w:rsidRPr="003B6677">
              <w:rPr>
                <w:rFonts w:ascii="Calibri" w:hAnsi="Calibri"/>
                <w:szCs w:val="22"/>
              </w:rPr>
              <w:t>19</w:t>
            </w:r>
          </w:p>
        </w:tc>
      </w:tr>
      <w:tr w:rsidR="003B6677" w:rsidRPr="0027482F" w14:paraId="2E64013C" w14:textId="77777777" w:rsidTr="00D238E6">
        <w:trPr>
          <w:trHeight w:val="454"/>
        </w:trPr>
        <w:tc>
          <w:tcPr>
            <w:tcW w:w="1276" w:type="dxa"/>
            <w:shd w:val="clear" w:color="auto" w:fill="auto"/>
            <w:vAlign w:val="bottom"/>
          </w:tcPr>
          <w:p w14:paraId="77B9E43A" w14:textId="19A03AD6" w:rsidR="003B6677" w:rsidRPr="003B6677" w:rsidRDefault="003B6677" w:rsidP="003B6677">
            <w:pPr>
              <w:pStyle w:val="mainbody"/>
              <w:spacing w:line="240" w:lineRule="auto"/>
              <w:jc w:val="center"/>
              <w:rPr>
                <w:rFonts w:cstheme="minorHAnsi"/>
                <w:sz w:val="24"/>
                <w:szCs w:val="24"/>
              </w:rPr>
            </w:pPr>
            <w:r w:rsidRPr="003B6677">
              <w:rPr>
                <w:rFonts w:ascii="Calibri" w:hAnsi="Calibri"/>
                <w:sz w:val="20"/>
              </w:rPr>
              <w:t>K/651/0234</w:t>
            </w:r>
          </w:p>
        </w:tc>
        <w:tc>
          <w:tcPr>
            <w:tcW w:w="1560" w:type="dxa"/>
            <w:shd w:val="clear" w:color="auto" w:fill="auto"/>
            <w:vAlign w:val="center"/>
          </w:tcPr>
          <w:p w14:paraId="31758F77" w14:textId="67826DCB" w:rsidR="003B6677" w:rsidRPr="003B6677" w:rsidRDefault="003B6677" w:rsidP="003B6677">
            <w:pPr>
              <w:pStyle w:val="mainbody"/>
              <w:spacing w:line="240" w:lineRule="auto"/>
              <w:jc w:val="center"/>
              <w:rPr>
                <w:rFonts w:cstheme="minorHAnsi"/>
                <w:sz w:val="24"/>
                <w:szCs w:val="24"/>
              </w:rPr>
            </w:pPr>
            <w:r w:rsidRPr="003B6677">
              <w:rPr>
                <w:rFonts w:ascii="Calibri" w:hAnsi="Calibri"/>
                <w:szCs w:val="22"/>
              </w:rPr>
              <w:t>CCOMO03v1</w:t>
            </w:r>
          </w:p>
        </w:tc>
        <w:tc>
          <w:tcPr>
            <w:tcW w:w="5244" w:type="dxa"/>
            <w:gridSpan w:val="2"/>
            <w:shd w:val="clear" w:color="auto" w:fill="auto"/>
            <w:vAlign w:val="center"/>
          </w:tcPr>
          <w:p w14:paraId="060D8E98" w14:textId="4E675A54" w:rsidR="003B6677" w:rsidRPr="003B6677" w:rsidRDefault="003B6677" w:rsidP="003B6677">
            <w:pPr>
              <w:pStyle w:val="mainbody"/>
              <w:spacing w:line="240" w:lineRule="auto"/>
              <w:jc w:val="left"/>
              <w:rPr>
                <w:rFonts w:cstheme="minorHAnsi"/>
                <w:sz w:val="24"/>
                <w:szCs w:val="24"/>
              </w:rPr>
            </w:pPr>
            <w:r w:rsidRPr="003B6677">
              <w:rPr>
                <w:rFonts w:ascii="Calibri" w:hAnsi="Calibri"/>
                <w:szCs w:val="22"/>
              </w:rPr>
              <w:t>Leading meetings and taking decisions in the workplace</w:t>
            </w:r>
          </w:p>
        </w:tc>
        <w:tc>
          <w:tcPr>
            <w:tcW w:w="851" w:type="dxa"/>
            <w:shd w:val="clear" w:color="auto" w:fill="auto"/>
            <w:vAlign w:val="center"/>
          </w:tcPr>
          <w:p w14:paraId="5123FFD6" w14:textId="6E0117B6" w:rsidR="003B6677" w:rsidRPr="003B6677" w:rsidRDefault="003B6677" w:rsidP="003B6677">
            <w:pPr>
              <w:pStyle w:val="mainbody"/>
              <w:spacing w:line="240" w:lineRule="auto"/>
              <w:jc w:val="center"/>
              <w:rPr>
                <w:rFonts w:cstheme="minorHAnsi"/>
                <w:sz w:val="24"/>
                <w:szCs w:val="24"/>
              </w:rPr>
            </w:pPr>
            <w:r w:rsidRPr="003B6677">
              <w:rPr>
                <w:rFonts w:ascii="Calibri" w:hAnsi="Calibri"/>
                <w:szCs w:val="22"/>
              </w:rPr>
              <w:t>6</w:t>
            </w:r>
          </w:p>
        </w:tc>
        <w:tc>
          <w:tcPr>
            <w:tcW w:w="992" w:type="dxa"/>
            <w:shd w:val="clear" w:color="auto" w:fill="auto"/>
            <w:vAlign w:val="center"/>
          </w:tcPr>
          <w:p w14:paraId="6D1A8B6F" w14:textId="3AF7A118" w:rsidR="003B6677" w:rsidRPr="003B6677" w:rsidRDefault="003B6677" w:rsidP="003B6677">
            <w:pPr>
              <w:pStyle w:val="mainbody"/>
              <w:spacing w:line="240" w:lineRule="auto"/>
              <w:jc w:val="center"/>
              <w:rPr>
                <w:rFonts w:cstheme="minorHAnsi"/>
                <w:sz w:val="24"/>
                <w:szCs w:val="24"/>
              </w:rPr>
            </w:pPr>
            <w:r w:rsidRPr="003B6677">
              <w:rPr>
                <w:rFonts w:ascii="Calibri" w:hAnsi="Calibri"/>
                <w:szCs w:val="22"/>
              </w:rPr>
              <w:t>10</w:t>
            </w:r>
          </w:p>
        </w:tc>
      </w:tr>
      <w:tr w:rsidR="003B6677" w:rsidRPr="0027482F" w14:paraId="6F07B05D" w14:textId="77777777" w:rsidTr="00D238E6">
        <w:trPr>
          <w:trHeight w:val="454"/>
        </w:trPr>
        <w:tc>
          <w:tcPr>
            <w:tcW w:w="1276" w:type="dxa"/>
            <w:shd w:val="clear" w:color="auto" w:fill="auto"/>
            <w:vAlign w:val="center"/>
          </w:tcPr>
          <w:p w14:paraId="7ED2CDFC" w14:textId="11BAF345" w:rsidR="003B6677" w:rsidRPr="003B6677" w:rsidRDefault="003B6677" w:rsidP="003B6677">
            <w:pPr>
              <w:pStyle w:val="mainbody"/>
              <w:spacing w:line="240" w:lineRule="auto"/>
              <w:jc w:val="center"/>
              <w:rPr>
                <w:rFonts w:cstheme="minorHAnsi"/>
                <w:sz w:val="24"/>
                <w:szCs w:val="24"/>
              </w:rPr>
            </w:pPr>
            <w:r w:rsidRPr="003B6677">
              <w:rPr>
                <w:rFonts w:ascii="Calibri" w:hAnsi="Calibri"/>
                <w:sz w:val="20"/>
              </w:rPr>
              <w:t>L/651/0235</w:t>
            </w:r>
          </w:p>
        </w:tc>
        <w:tc>
          <w:tcPr>
            <w:tcW w:w="1560" w:type="dxa"/>
            <w:shd w:val="clear" w:color="auto" w:fill="auto"/>
            <w:vAlign w:val="center"/>
          </w:tcPr>
          <w:p w14:paraId="78354942" w14:textId="4C134E78" w:rsidR="003B6677" w:rsidRPr="003B6677" w:rsidRDefault="003B6677" w:rsidP="003B6677">
            <w:pPr>
              <w:pStyle w:val="mainbody"/>
              <w:spacing w:line="240" w:lineRule="auto"/>
              <w:jc w:val="center"/>
              <w:rPr>
                <w:rFonts w:cstheme="minorHAnsi"/>
                <w:sz w:val="24"/>
                <w:szCs w:val="24"/>
              </w:rPr>
            </w:pPr>
            <w:r w:rsidRPr="003B6677">
              <w:rPr>
                <w:rFonts w:ascii="Calibri" w:hAnsi="Calibri"/>
                <w:szCs w:val="22"/>
              </w:rPr>
              <w:t>CCOMO04v1</w:t>
            </w:r>
          </w:p>
        </w:tc>
        <w:tc>
          <w:tcPr>
            <w:tcW w:w="5244" w:type="dxa"/>
            <w:gridSpan w:val="2"/>
            <w:shd w:val="clear" w:color="auto" w:fill="auto"/>
            <w:vAlign w:val="center"/>
          </w:tcPr>
          <w:p w14:paraId="2F486DFA" w14:textId="37BC8198" w:rsidR="003B6677" w:rsidRPr="003B6677" w:rsidRDefault="003B6677" w:rsidP="003B6677">
            <w:pPr>
              <w:pStyle w:val="mainbody"/>
              <w:spacing w:line="240" w:lineRule="auto"/>
              <w:jc w:val="left"/>
              <w:rPr>
                <w:rFonts w:cstheme="minorHAnsi"/>
                <w:sz w:val="24"/>
                <w:szCs w:val="24"/>
              </w:rPr>
            </w:pPr>
            <w:r w:rsidRPr="003B6677">
              <w:rPr>
                <w:rFonts w:ascii="Calibri" w:hAnsi="Calibri"/>
                <w:szCs w:val="22"/>
              </w:rPr>
              <w:t>Developing and maintaining working relationships in the workplace</w:t>
            </w:r>
          </w:p>
        </w:tc>
        <w:tc>
          <w:tcPr>
            <w:tcW w:w="851" w:type="dxa"/>
            <w:shd w:val="clear" w:color="auto" w:fill="auto"/>
            <w:vAlign w:val="center"/>
          </w:tcPr>
          <w:p w14:paraId="08AFD32F" w14:textId="55C47A89" w:rsidR="003B6677" w:rsidRPr="003B6677" w:rsidRDefault="003B6677" w:rsidP="003B6677">
            <w:pPr>
              <w:pStyle w:val="mainbody"/>
              <w:spacing w:line="240" w:lineRule="auto"/>
              <w:jc w:val="center"/>
              <w:rPr>
                <w:rFonts w:cstheme="minorHAnsi"/>
                <w:sz w:val="24"/>
                <w:szCs w:val="24"/>
              </w:rPr>
            </w:pPr>
            <w:r w:rsidRPr="003B6677">
              <w:rPr>
                <w:rFonts w:ascii="Calibri" w:hAnsi="Calibri"/>
                <w:szCs w:val="22"/>
              </w:rPr>
              <w:t>6</w:t>
            </w:r>
          </w:p>
        </w:tc>
        <w:tc>
          <w:tcPr>
            <w:tcW w:w="992" w:type="dxa"/>
            <w:shd w:val="clear" w:color="auto" w:fill="auto"/>
            <w:vAlign w:val="center"/>
          </w:tcPr>
          <w:p w14:paraId="5C4570DD" w14:textId="6D9DBD32" w:rsidR="003B6677" w:rsidRPr="003B6677" w:rsidRDefault="003B6677" w:rsidP="003B6677">
            <w:pPr>
              <w:pStyle w:val="mainbody"/>
              <w:spacing w:line="240" w:lineRule="auto"/>
              <w:jc w:val="center"/>
              <w:rPr>
                <w:rFonts w:cstheme="minorHAnsi"/>
                <w:sz w:val="24"/>
                <w:szCs w:val="24"/>
              </w:rPr>
            </w:pPr>
            <w:r w:rsidRPr="003B6677">
              <w:rPr>
                <w:rFonts w:ascii="Calibri" w:hAnsi="Calibri"/>
                <w:szCs w:val="22"/>
              </w:rPr>
              <w:t>13</w:t>
            </w:r>
          </w:p>
        </w:tc>
      </w:tr>
      <w:tr w:rsidR="003B6677" w:rsidRPr="0027482F" w14:paraId="75005FA5" w14:textId="77777777" w:rsidTr="00D238E6">
        <w:trPr>
          <w:trHeight w:val="454"/>
        </w:trPr>
        <w:tc>
          <w:tcPr>
            <w:tcW w:w="1276" w:type="dxa"/>
            <w:shd w:val="clear" w:color="auto" w:fill="auto"/>
            <w:vAlign w:val="center"/>
          </w:tcPr>
          <w:p w14:paraId="6B6D8050" w14:textId="577028CA" w:rsidR="003B6677" w:rsidRPr="003B6677" w:rsidRDefault="003B6677" w:rsidP="003B6677">
            <w:pPr>
              <w:pStyle w:val="mainbody"/>
              <w:spacing w:line="240" w:lineRule="auto"/>
              <w:jc w:val="center"/>
              <w:rPr>
                <w:rFonts w:cstheme="minorHAnsi"/>
                <w:sz w:val="24"/>
                <w:szCs w:val="24"/>
              </w:rPr>
            </w:pPr>
            <w:r w:rsidRPr="003B6677">
              <w:rPr>
                <w:rFonts w:ascii="Calibri" w:hAnsi="Calibri"/>
                <w:szCs w:val="22"/>
              </w:rPr>
              <w:t>M/651/0236</w:t>
            </w:r>
          </w:p>
        </w:tc>
        <w:tc>
          <w:tcPr>
            <w:tcW w:w="1560" w:type="dxa"/>
            <w:shd w:val="clear" w:color="auto" w:fill="auto"/>
            <w:vAlign w:val="bottom"/>
          </w:tcPr>
          <w:p w14:paraId="62E06390" w14:textId="04D9B084" w:rsidR="003B6677" w:rsidRPr="003B6677" w:rsidRDefault="003B6677" w:rsidP="003B6677">
            <w:pPr>
              <w:pStyle w:val="mainbody"/>
              <w:spacing w:line="240" w:lineRule="auto"/>
              <w:jc w:val="center"/>
              <w:rPr>
                <w:rFonts w:cstheme="minorHAnsi"/>
                <w:sz w:val="24"/>
                <w:szCs w:val="24"/>
              </w:rPr>
            </w:pPr>
            <w:r w:rsidRPr="003B6677">
              <w:rPr>
                <w:rFonts w:ascii="Calibri" w:hAnsi="Calibri"/>
                <w:szCs w:val="22"/>
              </w:rPr>
              <w:t>COSVR740v2</w:t>
            </w:r>
          </w:p>
        </w:tc>
        <w:tc>
          <w:tcPr>
            <w:tcW w:w="5244" w:type="dxa"/>
            <w:gridSpan w:val="2"/>
            <w:shd w:val="clear" w:color="auto" w:fill="auto"/>
            <w:vAlign w:val="center"/>
          </w:tcPr>
          <w:p w14:paraId="555877BC" w14:textId="2E557758" w:rsidR="003B6677" w:rsidRPr="003B6677" w:rsidRDefault="003B6677" w:rsidP="003B6677">
            <w:pPr>
              <w:pStyle w:val="mainbody"/>
              <w:spacing w:line="240" w:lineRule="auto"/>
              <w:jc w:val="left"/>
              <w:rPr>
                <w:rFonts w:cstheme="minorHAnsi"/>
                <w:sz w:val="24"/>
                <w:szCs w:val="24"/>
              </w:rPr>
            </w:pPr>
            <w:r w:rsidRPr="003B6677">
              <w:rPr>
                <w:rFonts w:ascii="Calibri" w:hAnsi="Calibri"/>
                <w:szCs w:val="22"/>
              </w:rPr>
              <w:t>Managing your own personal development in the workplace</w:t>
            </w:r>
          </w:p>
        </w:tc>
        <w:tc>
          <w:tcPr>
            <w:tcW w:w="851" w:type="dxa"/>
            <w:shd w:val="clear" w:color="auto" w:fill="auto"/>
            <w:vAlign w:val="center"/>
          </w:tcPr>
          <w:p w14:paraId="3DF63AC4" w14:textId="1FD03812" w:rsidR="003B6677" w:rsidRPr="003B6677" w:rsidRDefault="003B6677" w:rsidP="003B6677">
            <w:pPr>
              <w:pStyle w:val="mainbody"/>
              <w:spacing w:line="240" w:lineRule="auto"/>
              <w:jc w:val="center"/>
              <w:rPr>
                <w:rFonts w:cstheme="minorHAnsi"/>
                <w:sz w:val="24"/>
                <w:szCs w:val="24"/>
              </w:rPr>
            </w:pPr>
            <w:r w:rsidRPr="003B6677">
              <w:rPr>
                <w:rFonts w:ascii="Calibri" w:hAnsi="Calibri"/>
                <w:szCs w:val="22"/>
              </w:rPr>
              <w:t>6</w:t>
            </w:r>
          </w:p>
        </w:tc>
        <w:tc>
          <w:tcPr>
            <w:tcW w:w="992" w:type="dxa"/>
            <w:shd w:val="clear" w:color="auto" w:fill="auto"/>
            <w:vAlign w:val="center"/>
          </w:tcPr>
          <w:p w14:paraId="2A395862" w14:textId="1203E0DC" w:rsidR="003B6677" w:rsidRPr="003B6677" w:rsidRDefault="003B6677" w:rsidP="003B6677">
            <w:pPr>
              <w:pStyle w:val="mainbody"/>
              <w:spacing w:line="240" w:lineRule="auto"/>
              <w:jc w:val="center"/>
              <w:rPr>
                <w:rFonts w:cstheme="minorHAnsi"/>
                <w:sz w:val="24"/>
                <w:szCs w:val="24"/>
              </w:rPr>
            </w:pPr>
            <w:r w:rsidRPr="003B6677">
              <w:rPr>
                <w:rFonts w:ascii="Calibri" w:hAnsi="Calibri"/>
                <w:szCs w:val="22"/>
              </w:rPr>
              <w:t>9</w:t>
            </w:r>
          </w:p>
        </w:tc>
      </w:tr>
      <w:tr w:rsidR="003B6677" w:rsidRPr="0027482F" w14:paraId="34D9FDF1" w14:textId="77777777" w:rsidTr="003B6677">
        <w:trPr>
          <w:trHeight w:val="179"/>
        </w:trPr>
        <w:tc>
          <w:tcPr>
            <w:tcW w:w="9923" w:type="dxa"/>
            <w:gridSpan w:val="6"/>
            <w:shd w:val="clear" w:color="auto" w:fill="E2EFD9" w:themeFill="accent6" w:themeFillTint="33"/>
            <w:vAlign w:val="center"/>
          </w:tcPr>
          <w:p w14:paraId="12E34BA7" w14:textId="0996CE9F" w:rsidR="003B6677" w:rsidRPr="009B4B6E" w:rsidRDefault="003B6677" w:rsidP="009B4B6E">
            <w:pPr>
              <w:spacing w:after="0"/>
              <w:ind w:left="0" w:firstLine="0"/>
              <w:jc w:val="center"/>
              <w:rPr>
                <w:rFonts w:ascii="Calibri" w:eastAsia="Times New Roman" w:hAnsi="Calibri" w:cs="Calibri"/>
                <w:b/>
                <w:bCs/>
                <w:sz w:val="22"/>
              </w:rPr>
            </w:pPr>
            <w:r>
              <w:rPr>
                <w:rFonts w:ascii="Calibri" w:hAnsi="Calibri" w:cs="Calibri"/>
                <w:b/>
                <w:bCs/>
                <w:sz w:val="22"/>
              </w:rPr>
              <w:t>Optional Units - Minimum of 4 required</w:t>
            </w:r>
          </w:p>
        </w:tc>
      </w:tr>
      <w:tr w:rsidR="003B6677" w:rsidRPr="0027482F" w14:paraId="0385D63F" w14:textId="77777777" w:rsidTr="00780B3E">
        <w:trPr>
          <w:trHeight w:val="56"/>
        </w:trPr>
        <w:tc>
          <w:tcPr>
            <w:tcW w:w="1276" w:type="dxa"/>
            <w:shd w:val="clear" w:color="auto" w:fill="auto"/>
            <w:vAlign w:val="bottom"/>
          </w:tcPr>
          <w:p w14:paraId="1CF6953E" w14:textId="707C6325"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rPr>
              <w:t>R/651/0237</w:t>
            </w:r>
          </w:p>
        </w:tc>
        <w:tc>
          <w:tcPr>
            <w:tcW w:w="1560" w:type="dxa"/>
            <w:shd w:val="clear" w:color="auto" w:fill="auto"/>
            <w:vAlign w:val="center"/>
          </w:tcPr>
          <w:p w14:paraId="3AC83E65" w14:textId="6EF4827E"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CCOMO05v1</w:t>
            </w:r>
          </w:p>
        </w:tc>
        <w:tc>
          <w:tcPr>
            <w:tcW w:w="5244" w:type="dxa"/>
            <w:gridSpan w:val="2"/>
            <w:shd w:val="clear" w:color="auto" w:fill="auto"/>
            <w:vAlign w:val="center"/>
          </w:tcPr>
          <w:p w14:paraId="2F0E7E7C" w14:textId="353F05F3"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 xml:space="preserve">Planning surveys in the workplace </w:t>
            </w:r>
          </w:p>
        </w:tc>
        <w:tc>
          <w:tcPr>
            <w:tcW w:w="851" w:type="dxa"/>
            <w:shd w:val="clear" w:color="auto" w:fill="auto"/>
            <w:vAlign w:val="center"/>
          </w:tcPr>
          <w:p w14:paraId="5A17340F" w14:textId="4DD3FD97"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6</w:t>
            </w:r>
          </w:p>
        </w:tc>
        <w:tc>
          <w:tcPr>
            <w:tcW w:w="992" w:type="dxa"/>
            <w:shd w:val="clear" w:color="auto" w:fill="auto"/>
            <w:vAlign w:val="center"/>
          </w:tcPr>
          <w:p w14:paraId="69D74BDA" w14:textId="58B45A2D"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14</w:t>
            </w:r>
          </w:p>
        </w:tc>
      </w:tr>
      <w:tr w:rsidR="003B6677" w:rsidRPr="0027482F" w14:paraId="4166E391" w14:textId="77777777" w:rsidTr="003B6677">
        <w:trPr>
          <w:trHeight w:val="56"/>
        </w:trPr>
        <w:tc>
          <w:tcPr>
            <w:tcW w:w="1276" w:type="dxa"/>
            <w:shd w:val="clear" w:color="auto" w:fill="auto"/>
            <w:vAlign w:val="center"/>
          </w:tcPr>
          <w:p w14:paraId="1CA2F52A" w14:textId="19F465C3"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rPr>
              <w:t>T/651/0238</w:t>
            </w:r>
          </w:p>
        </w:tc>
        <w:tc>
          <w:tcPr>
            <w:tcW w:w="1560" w:type="dxa"/>
            <w:shd w:val="clear" w:color="auto" w:fill="auto"/>
            <w:vAlign w:val="center"/>
          </w:tcPr>
          <w:p w14:paraId="32A3FAF0" w14:textId="4FF0B584"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CCOMO06v1</w:t>
            </w:r>
          </w:p>
        </w:tc>
        <w:tc>
          <w:tcPr>
            <w:tcW w:w="5244" w:type="dxa"/>
            <w:gridSpan w:val="2"/>
            <w:shd w:val="clear" w:color="auto" w:fill="auto"/>
            <w:vAlign w:val="center"/>
          </w:tcPr>
          <w:p w14:paraId="57DEA93F" w14:textId="60707453"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Establishing the condition of property in the workplace</w:t>
            </w:r>
          </w:p>
        </w:tc>
        <w:tc>
          <w:tcPr>
            <w:tcW w:w="851" w:type="dxa"/>
            <w:shd w:val="clear" w:color="auto" w:fill="auto"/>
            <w:vAlign w:val="center"/>
          </w:tcPr>
          <w:p w14:paraId="140FAA7C" w14:textId="552B7928"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6</w:t>
            </w:r>
          </w:p>
        </w:tc>
        <w:tc>
          <w:tcPr>
            <w:tcW w:w="992" w:type="dxa"/>
            <w:shd w:val="clear" w:color="auto" w:fill="auto"/>
            <w:vAlign w:val="center"/>
          </w:tcPr>
          <w:p w14:paraId="380C0D4C" w14:textId="7FD3C7AC"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15</w:t>
            </w:r>
          </w:p>
        </w:tc>
      </w:tr>
      <w:tr w:rsidR="003B6677" w:rsidRPr="0027482F" w14:paraId="0544822C" w14:textId="77777777" w:rsidTr="00780B3E">
        <w:trPr>
          <w:trHeight w:val="56"/>
        </w:trPr>
        <w:tc>
          <w:tcPr>
            <w:tcW w:w="1276" w:type="dxa"/>
            <w:shd w:val="clear" w:color="auto" w:fill="auto"/>
            <w:vAlign w:val="bottom"/>
          </w:tcPr>
          <w:p w14:paraId="73B0C45D" w14:textId="7AA01102"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rPr>
              <w:t>Y/651/0239</w:t>
            </w:r>
          </w:p>
        </w:tc>
        <w:tc>
          <w:tcPr>
            <w:tcW w:w="1560" w:type="dxa"/>
            <w:shd w:val="clear" w:color="auto" w:fill="auto"/>
            <w:vAlign w:val="center"/>
          </w:tcPr>
          <w:p w14:paraId="5F6A214A" w14:textId="69B97FEC"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CCOMO07v1</w:t>
            </w:r>
          </w:p>
        </w:tc>
        <w:tc>
          <w:tcPr>
            <w:tcW w:w="5244" w:type="dxa"/>
            <w:gridSpan w:val="2"/>
            <w:shd w:val="clear" w:color="auto" w:fill="auto"/>
            <w:vAlign w:val="center"/>
          </w:tcPr>
          <w:p w14:paraId="058BF751" w14:textId="0C6D66DD"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Identifying, assessing and evaluating project requirements in the workplace</w:t>
            </w:r>
          </w:p>
        </w:tc>
        <w:tc>
          <w:tcPr>
            <w:tcW w:w="851" w:type="dxa"/>
            <w:shd w:val="clear" w:color="auto" w:fill="auto"/>
            <w:vAlign w:val="center"/>
          </w:tcPr>
          <w:p w14:paraId="659B9353" w14:textId="5C0FF5DD"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6</w:t>
            </w:r>
          </w:p>
        </w:tc>
        <w:tc>
          <w:tcPr>
            <w:tcW w:w="992" w:type="dxa"/>
            <w:shd w:val="clear" w:color="auto" w:fill="auto"/>
            <w:vAlign w:val="center"/>
          </w:tcPr>
          <w:p w14:paraId="1C6FBA23" w14:textId="6B58075C"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19</w:t>
            </w:r>
          </w:p>
        </w:tc>
      </w:tr>
      <w:tr w:rsidR="003B6677" w:rsidRPr="0027482F" w14:paraId="7AB7F626" w14:textId="77777777" w:rsidTr="003B6677">
        <w:trPr>
          <w:trHeight w:val="56"/>
        </w:trPr>
        <w:tc>
          <w:tcPr>
            <w:tcW w:w="1276" w:type="dxa"/>
            <w:shd w:val="clear" w:color="auto" w:fill="auto"/>
            <w:vAlign w:val="center"/>
          </w:tcPr>
          <w:p w14:paraId="14ACCD82" w14:textId="2B1F39BA"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rPr>
              <w:t>F/651/0240</w:t>
            </w:r>
          </w:p>
        </w:tc>
        <w:tc>
          <w:tcPr>
            <w:tcW w:w="1560" w:type="dxa"/>
            <w:shd w:val="clear" w:color="auto" w:fill="auto"/>
            <w:vAlign w:val="center"/>
          </w:tcPr>
          <w:p w14:paraId="4454B9FC" w14:textId="67F65E39"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CCOMO08v1</w:t>
            </w:r>
          </w:p>
        </w:tc>
        <w:tc>
          <w:tcPr>
            <w:tcW w:w="5244" w:type="dxa"/>
            <w:gridSpan w:val="2"/>
            <w:shd w:val="clear" w:color="auto" w:fill="auto"/>
            <w:vAlign w:val="center"/>
          </w:tcPr>
          <w:p w14:paraId="016FD683" w14:textId="71899FC0"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Coordinating project designs in the workplace</w:t>
            </w:r>
          </w:p>
        </w:tc>
        <w:tc>
          <w:tcPr>
            <w:tcW w:w="851" w:type="dxa"/>
            <w:shd w:val="clear" w:color="auto" w:fill="auto"/>
            <w:vAlign w:val="center"/>
          </w:tcPr>
          <w:p w14:paraId="3A850A86" w14:textId="47C269EF"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6</w:t>
            </w:r>
          </w:p>
        </w:tc>
        <w:tc>
          <w:tcPr>
            <w:tcW w:w="992" w:type="dxa"/>
            <w:shd w:val="clear" w:color="auto" w:fill="auto"/>
            <w:vAlign w:val="center"/>
          </w:tcPr>
          <w:p w14:paraId="1CF19398" w14:textId="0866BFEF"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18</w:t>
            </w:r>
          </w:p>
        </w:tc>
      </w:tr>
      <w:tr w:rsidR="003B6677" w:rsidRPr="0027482F" w14:paraId="4FB1F0E0" w14:textId="77777777" w:rsidTr="003B6677">
        <w:trPr>
          <w:trHeight w:val="56"/>
        </w:trPr>
        <w:tc>
          <w:tcPr>
            <w:tcW w:w="1276" w:type="dxa"/>
            <w:shd w:val="clear" w:color="auto" w:fill="auto"/>
            <w:vAlign w:val="center"/>
          </w:tcPr>
          <w:p w14:paraId="7FDBA3ED" w14:textId="68DDD996"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H/651/0241</w:t>
            </w:r>
          </w:p>
        </w:tc>
        <w:tc>
          <w:tcPr>
            <w:tcW w:w="1560" w:type="dxa"/>
            <w:shd w:val="clear" w:color="auto" w:fill="auto"/>
            <w:vAlign w:val="center"/>
          </w:tcPr>
          <w:p w14:paraId="282CC438" w14:textId="21F13E50"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CCOMO09v1</w:t>
            </w:r>
          </w:p>
        </w:tc>
        <w:tc>
          <w:tcPr>
            <w:tcW w:w="5244" w:type="dxa"/>
            <w:gridSpan w:val="2"/>
            <w:shd w:val="clear" w:color="auto" w:fill="auto"/>
            <w:vAlign w:val="center"/>
          </w:tcPr>
          <w:p w14:paraId="58705B67" w14:textId="3EF04F57"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 xml:space="preserve">Specifying production document requirements and ensuring the control and maintenance of project information in the workplace </w:t>
            </w:r>
          </w:p>
        </w:tc>
        <w:tc>
          <w:tcPr>
            <w:tcW w:w="851" w:type="dxa"/>
            <w:shd w:val="clear" w:color="auto" w:fill="auto"/>
            <w:vAlign w:val="center"/>
          </w:tcPr>
          <w:p w14:paraId="696F6E0F" w14:textId="24209300"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6</w:t>
            </w:r>
          </w:p>
        </w:tc>
        <w:tc>
          <w:tcPr>
            <w:tcW w:w="992" w:type="dxa"/>
            <w:shd w:val="clear" w:color="auto" w:fill="auto"/>
            <w:vAlign w:val="center"/>
          </w:tcPr>
          <w:p w14:paraId="72DE2803" w14:textId="10B42B0A"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18</w:t>
            </w:r>
          </w:p>
        </w:tc>
      </w:tr>
      <w:tr w:rsidR="003B6677" w:rsidRPr="0027482F" w14:paraId="3BC6F30A" w14:textId="77777777" w:rsidTr="003B6677">
        <w:trPr>
          <w:trHeight w:val="56"/>
        </w:trPr>
        <w:tc>
          <w:tcPr>
            <w:tcW w:w="1276" w:type="dxa"/>
            <w:shd w:val="clear" w:color="auto" w:fill="auto"/>
            <w:vAlign w:val="center"/>
          </w:tcPr>
          <w:p w14:paraId="1880CD64" w14:textId="6AE3CF69"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rPr>
              <w:t>J/651/0242</w:t>
            </w:r>
          </w:p>
        </w:tc>
        <w:tc>
          <w:tcPr>
            <w:tcW w:w="1560" w:type="dxa"/>
            <w:shd w:val="clear" w:color="auto" w:fill="auto"/>
            <w:vAlign w:val="center"/>
          </w:tcPr>
          <w:p w14:paraId="20543026" w14:textId="4098D280"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CCOMO10v1</w:t>
            </w:r>
          </w:p>
        </w:tc>
        <w:tc>
          <w:tcPr>
            <w:tcW w:w="5244" w:type="dxa"/>
            <w:gridSpan w:val="2"/>
            <w:shd w:val="clear" w:color="auto" w:fill="auto"/>
            <w:vAlign w:val="center"/>
          </w:tcPr>
          <w:p w14:paraId="58C7EBD5" w14:textId="41D04CF2"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Developing a programme of works and a procurement programme in the workplace</w:t>
            </w:r>
          </w:p>
        </w:tc>
        <w:tc>
          <w:tcPr>
            <w:tcW w:w="851" w:type="dxa"/>
            <w:shd w:val="clear" w:color="auto" w:fill="auto"/>
            <w:vAlign w:val="center"/>
          </w:tcPr>
          <w:p w14:paraId="08AF35E8" w14:textId="6F24AE96"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6</w:t>
            </w:r>
          </w:p>
        </w:tc>
        <w:tc>
          <w:tcPr>
            <w:tcW w:w="992" w:type="dxa"/>
            <w:shd w:val="clear" w:color="auto" w:fill="auto"/>
            <w:vAlign w:val="center"/>
          </w:tcPr>
          <w:p w14:paraId="44B3AB7F" w14:textId="6D4AA60D"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18</w:t>
            </w:r>
          </w:p>
        </w:tc>
      </w:tr>
      <w:tr w:rsidR="003B6677" w:rsidRPr="0027482F" w14:paraId="24F0F308" w14:textId="77777777" w:rsidTr="003B6677">
        <w:trPr>
          <w:trHeight w:val="56"/>
        </w:trPr>
        <w:tc>
          <w:tcPr>
            <w:tcW w:w="1276" w:type="dxa"/>
            <w:shd w:val="clear" w:color="auto" w:fill="auto"/>
            <w:vAlign w:val="center"/>
          </w:tcPr>
          <w:p w14:paraId="6AE2E98E" w14:textId="63D140C6"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rPr>
              <w:t>K/651/0243</w:t>
            </w:r>
          </w:p>
        </w:tc>
        <w:tc>
          <w:tcPr>
            <w:tcW w:w="1560" w:type="dxa"/>
            <w:shd w:val="clear" w:color="auto" w:fill="auto"/>
            <w:vAlign w:val="center"/>
          </w:tcPr>
          <w:p w14:paraId="1E26CAEC" w14:textId="1BB63879"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CCOMO11v1</w:t>
            </w:r>
          </w:p>
        </w:tc>
        <w:tc>
          <w:tcPr>
            <w:tcW w:w="5244" w:type="dxa"/>
            <w:gridSpan w:val="2"/>
            <w:shd w:val="clear" w:color="auto" w:fill="auto"/>
            <w:vAlign w:val="center"/>
          </w:tcPr>
          <w:p w14:paraId="51438D96" w14:textId="67588C0B"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Implementing strategic and integrated supply chain management and sourcing partnerships in the workplace</w:t>
            </w:r>
          </w:p>
        </w:tc>
        <w:tc>
          <w:tcPr>
            <w:tcW w:w="851" w:type="dxa"/>
            <w:shd w:val="clear" w:color="auto" w:fill="auto"/>
            <w:vAlign w:val="center"/>
          </w:tcPr>
          <w:p w14:paraId="279B82C5" w14:textId="4B0171B7"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6</w:t>
            </w:r>
          </w:p>
        </w:tc>
        <w:tc>
          <w:tcPr>
            <w:tcW w:w="992" w:type="dxa"/>
            <w:shd w:val="clear" w:color="auto" w:fill="auto"/>
            <w:vAlign w:val="center"/>
          </w:tcPr>
          <w:p w14:paraId="13F479CA" w14:textId="11744CA7"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18</w:t>
            </w:r>
          </w:p>
        </w:tc>
      </w:tr>
      <w:tr w:rsidR="003B6677" w:rsidRPr="0027482F" w14:paraId="6B8F142E" w14:textId="77777777" w:rsidTr="003B6677">
        <w:trPr>
          <w:trHeight w:val="56"/>
        </w:trPr>
        <w:tc>
          <w:tcPr>
            <w:tcW w:w="1276" w:type="dxa"/>
            <w:shd w:val="clear" w:color="auto" w:fill="auto"/>
            <w:vAlign w:val="center"/>
          </w:tcPr>
          <w:p w14:paraId="6979693D" w14:textId="35AD6DF9"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rPr>
              <w:t>L/651/0244</w:t>
            </w:r>
          </w:p>
        </w:tc>
        <w:tc>
          <w:tcPr>
            <w:tcW w:w="1560" w:type="dxa"/>
            <w:shd w:val="clear" w:color="auto" w:fill="auto"/>
            <w:vAlign w:val="center"/>
          </w:tcPr>
          <w:p w14:paraId="71C7411E" w14:textId="5960B1FD"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CCOMO12v1</w:t>
            </w:r>
          </w:p>
        </w:tc>
        <w:tc>
          <w:tcPr>
            <w:tcW w:w="5244" w:type="dxa"/>
            <w:gridSpan w:val="2"/>
            <w:shd w:val="clear" w:color="auto" w:fill="auto"/>
            <w:vAlign w:val="center"/>
          </w:tcPr>
          <w:p w14:paraId="041A14B0" w14:textId="6D990A27"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Obtaining tenders and appointing contractors in the workplace</w:t>
            </w:r>
          </w:p>
        </w:tc>
        <w:tc>
          <w:tcPr>
            <w:tcW w:w="851" w:type="dxa"/>
            <w:shd w:val="clear" w:color="auto" w:fill="auto"/>
            <w:vAlign w:val="center"/>
          </w:tcPr>
          <w:p w14:paraId="77984FEB" w14:textId="232772CE"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6</w:t>
            </w:r>
          </w:p>
        </w:tc>
        <w:tc>
          <w:tcPr>
            <w:tcW w:w="992" w:type="dxa"/>
            <w:shd w:val="clear" w:color="auto" w:fill="auto"/>
            <w:vAlign w:val="center"/>
          </w:tcPr>
          <w:p w14:paraId="293EDC1D" w14:textId="3B6C0D65"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15</w:t>
            </w:r>
          </w:p>
        </w:tc>
      </w:tr>
      <w:tr w:rsidR="003B6677" w:rsidRPr="0027482F" w14:paraId="13D921E4" w14:textId="77777777" w:rsidTr="003B6677">
        <w:trPr>
          <w:trHeight w:val="56"/>
        </w:trPr>
        <w:tc>
          <w:tcPr>
            <w:tcW w:w="1276" w:type="dxa"/>
            <w:shd w:val="clear" w:color="auto" w:fill="auto"/>
            <w:vAlign w:val="center"/>
          </w:tcPr>
          <w:p w14:paraId="1AA62BB5" w14:textId="3B4ABD40"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rPr>
              <w:t>M/651/0245</w:t>
            </w:r>
          </w:p>
        </w:tc>
        <w:tc>
          <w:tcPr>
            <w:tcW w:w="1560" w:type="dxa"/>
            <w:shd w:val="clear" w:color="auto" w:fill="auto"/>
            <w:vAlign w:val="center"/>
          </w:tcPr>
          <w:p w14:paraId="73E77D2B" w14:textId="3D4B06C2"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CCOMO13v1</w:t>
            </w:r>
          </w:p>
        </w:tc>
        <w:tc>
          <w:tcPr>
            <w:tcW w:w="5244" w:type="dxa"/>
            <w:gridSpan w:val="2"/>
            <w:shd w:val="clear" w:color="auto" w:fill="auto"/>
            <w:vAlign w:val="center"/>
          </w:tcPr>
          <w:p w14:paraId="12B9C03A" w14:textId="024F1766"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 xml:space="preserve">Evaluating enquiries and submitting tenders in the workplace </w:t>
            </w:r>
          </w:p>
        </w:tc>
        <w:tc>
          <w:tcPr>
            <w:tcW w:w="851" w:type="dxa"/>
            <w:shd w:val="clear" w:color="auto" w:fill="auto"/>
            <w:vAlign w:val="center"/>
          </w:tcPr>
          <w:p w14:paraId="7B10303B" w14:textId="2F414C25"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6</w:t>
            </w:r>
          </w:p>
        </w:tc>
        <w:tc>
          <w:tcPr>
            <w:tcW w:w="992" w:type="dxa"/>
            <w:shd w:val="clear" w:color="auto" w:fill="auto"/>
            <w:vAlign w:val="center"/>
          </w:tcPr>
          <w:p w14:paraId="37174C5B" w14:textId="7712E1BC"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14</w:t>
            </w:r>
          </w:p>
        </w:tc>
      </w:tr>
      <w:tr w:rsidR="003B6677" w:rsidRPr="0027482F" w14:paraId="7AFD23EE" w14:textId="77777777" w:rsidTr="003B6677">
        <w:trPr>
          <w:trHeight w:val="56"/>
        </w:trPr>
        <w:tc>
          <w:tcPr>
            <w:tcW w:w="1276" w:type="dxa"/>
            <w:shd w:val="clear" w:color="auto" w:fill="auto"/>
            <w:vAlign w:val="center"/>
          </w:tcPr>
          <w:p w14:paraId="589E56D4" w14:textId="2A6AE647"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rPr>
              <w:t>R/651/0246</w:t>
            </w:r>
          </w:p>
        </w:tc>
        <w:tc>
          <w:tcPr>
            <w:tcW w:w="1560" w:type="dxa"/>
            <w:shd w:val="clear" w:color="auto" w:fill="auto"/>
            <w:vAlign w:val="center"/>
          </w:tcPr>
          <w:p w14:paraId="4D75D8E2" w14:textId="38A13C7E"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CCOMO14v1</w:t>
            </w:r>
          </w:p>
        </w:tc>
        <w:tc>
          <w:tcPr>
            <w:tcW w:w="5244" w:type="dxa"/>
            <w:gridSpan w:val="2"/>
            <w:shd w:val="clear" w:color="auto" w:fill="auto"/>
            <w:vAlign w:val="center"/>
          </w:tcPr>
          <w:p w14:paraId="3D0E3616" w14:textId="42D59913"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 xml:space="preserve">Evaluating work methods and developing a programme of works in the workplace </w:t>
            </w:r>
          </w:p>
        </w:tc>
        <w:tc>
          <w:tcPr>
            <w:tcW w:w="851" w:type="dxa"/>
            <w:shd w:val="clear" w:color="auto" w:fill="auto"/>
            <w:vAlign w:val="center"/>
          </w:tcPr>
          <w:p w14:paraId="653DB79E" w14:textId="175E5262"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6</w:t>
            </w:r>
          </w:p>
        </w:tc>
        <w:tc>
          <w:tcPr>
            <w:tcW w:w="992" w:type="dxa"/>
            <w:shd w:val="clear" w:color="auto" w:fill="auto"/>
            <w:vAlign w:val="center"/>
          </w:tcPr>
          <w:p w14:paraId="0BBA0922" w14:textId="188B4355"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13</w:t>
            </w:r>
          </w:p>
        </w:tc>
      </w:tr>
      <w:tr w:rsidR="003B6677" w:rsidRPr="0027482F" w14:paraId="786DA9DA" w14:textId="77777777" w:rsidTr="003B6677">
        <w:trPr>
          <w:trHeight w:val="56"/>
        </w:trPr>
        <w:tc>
          <w:tcPr>
            <w:tcW w:w="1276" w:type="dxa"/>
            <w:shd w:val="clear" w:color="auto" w:fill="auto"/>
            <w:vAlign w:val="center"/>
          </w:tcPr>
          <w:p w14:paraId="0FA44B2F" w14:textId="31A2E387"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rPr>
              <w:t>T/651/0247</w:t>
            </w:r>
          </w:p>
        </w:tc>
        <w:tc>
          <w:tcPr>
            <w:tcW w:w="1560" w:type="dxa"/>
            <w:shd w:val="clear" w:color="auto" w:fill="auto"/>
            <w:vAlign w:val="center"/>
          </w:tcPr>
          <w:p w14:paraId="2CE51454" w14:textId="50FF8F1A"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CCOMO15v1</w:t>
            </w:r>
          </w:p>
        </w:tc>
        <w:tc>
          <w:tcPr>
            <w:tcW w:w="5244" w:type="dxa"/>
            <w:gridSpan w:val="2"/>
            <w:shd w:val="clear" w:color="auto" w:fill="auto"/>
            <w:vAlign w:val="center"/>
          </w:tcPr>
          <w:p w14:paraId="6B49B494" w14:textId="7721C936"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 xml:space="preserve">Developing a procurement plan and optimising supplier and service provider performance in the workplace </w:t>
            </w:r>
          </w:p>
        </w:tc>
        <w:tc>
          <w:tcPr>
            <w:tcW w:w="851" w:type="dxa"/>
            <w:shd w:val="clear" w:color="auto" w:fill="auto"/>
            <w:vAlign w:val="center"/>
          </w:tcPr>
          <w:p w14:paraId="05A17859" w14:textId="6631049E"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6</w:t>
            </w:r>
          </w:p>
        </w:tc>
        <w:tc>
          <w:tcPr>
            <w:tcW w:w="992" w:type="dxa"/>
            <w:shd w:val="clear" w:color="auto" w:fill="auto"/>
            <w:vAlign w:val="center"/>
          </w:tcPr>
          <w:p w14:paraId="1E929513" w14:textId="018AFFBD"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13</w:t>
            </w:r>
          </w:p>
        </w:tc>
      </w:tr>
      <w:tr w:rsidR="003B6677" w:rsidRPr="0027482F" w14:paraId="58D17602" w14:textId="77777777" w:rsidTr="003B6677">
        <w:trPr>
          <w:trHeight w:val="56"/>
        </w:trPr>
        <w:tc>
          <w:tcPr>
            <w:tcW w:w="1276" w:type="dxa"/>
            <w:shd w:val="clear" w:color="auto" w:fill="auto"/>
            <w:vAlign w:val="center"/>
          </w:tcPr>
          <w:p w14:paraId="6F5F212B" w14:textId="4C819D12"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rPr>
              <w:t>Y/651/0248</w:t>
            </w:r>
          </w:p>
        </w:tc>
        <w:tc>
          <w:tcPr>
            <w:tcW w:w="1560" w:type="dxa"/>
            <w:shd w:val="clear" w:color="auto" w:fill="auto"/>
            <w:vAlign w:val="center"/>
          </w:tcPr>
          <w:p w14:paraId="2F885BDE" w14:textId="2373AA36"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CCOMO16v1</w:t>
            </w:r>
          </w:p>
        </w:tc>
        <w:tc>
          <w:tcPr>
            <w:tcW w:w="5244" w:type="dxa"/>
            <w:gridSpan w:val="2"/>
            <w:shd w:val="clear" w:color="auto" w:fill="auto"/>
            <w:vAlign w:val="center"/>
          </w:tcPr>
          <w:p w14:paraId="1D392732" w14:textId="2755A36C"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 xml:space="preserve">Controlling contract work in the workplace </w:t>
            </w:r>
          </w:p>
        </w:tc>
        <w:tc>
          <w:tcPr>
            <w:tcW w:w="851" w:type="dxa"/>
            <w:shd w:val="clear" w:color="auto" w:fill="auto"/>
            <w:vAlign w:val="center"/>
          </w:tcPr>
          <w:p w14:paraId="34A170F2" w14:textId="1B6B3CDB"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6</w:t>
            </w:r>
          </w:p>
        </w:tc>
        <w:tc>
          <w:tcPr>
            <w:tcW w:w="992" w:type="dxa"/>
            <w:shd w:val="clear" w:color="auto" w:fill="auto"/>
            <w:vAlign w:val="center"/>
          </w:tcPr>
          <w:p w14:paraId="3076CE34" w14:textId="7C0A5022"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17</w:t>
            </w:r>
          </w:p>
        </w:tc>
      </w:tr>
      <w:tr w:rsidR="003B6677" w:rsidRPr="0027482F" w14:paraId="5E3CDC22" w14:textId="77777777" w:rsidTr="003B6677">
        <w:trPr>
          <w:trHeight w:val="56"/>
        </w:trPr>
        <w:tc>
          <w:tcPr>
            <w:tcW w:w="1276" w:type="dxa"/>
            <w:shd w:val="clear" w:color="auto" w:fill="auto"/>
            <w:vAlign w:val="center"/>
          </w:tcPr>
          <w:p w14:paraId="0B3C3E0C" w14:textId="32B1197F"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rPr>
              <w:t>A/651/0249</w:t>
            </w:r>
          </w:p>
        </w:tc>
        <w:tc>
          <w:tcPr>
            <w:tcW w:w="1560" w:type="dxa"/>
            <w:shd w:val="clear" w:color="auto" w:fill="auto"/>
            <w:vAlign w:val="center"/>
          </w:tcPr>
          <w:p w14:paraId="212518DE" w14:textId="4F2BDB67"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CCOMO17v1</w:t>
            </w:r>
          </w:p>
        </w:tc>
        <w:tc>
          <w:tcPr>
            <w:tcW w:w="5244" w:type="dxa"/>
            <w:gridSpan w:val="2"/>
            <w:shd w:val="clear" w:color="auto" w:fill="auto"/>
            <w:vAlign w:val="center"/>
          </w:tcPr>
          <w:p w14:paraId="2737D391" w14:textId="608CD615"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 xml:space="preserve">Optimising contract progress and controlling costs in the workplace </w:t>
            </w:r>
          </w:p>
        </w:tc>
        <w:tc>
          <w:tcPr>
            <w:tcW w:w="851" w:type="dxa"/>
            <w:shd w:val="clear" w:color="auto" w:fill="auto"/>
            <w:vAlign w:val="center"/>
          </w:tcPr>
          <w:p w14:paraId="23BC3021" w14:textId="15FDD167"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6</w:t>
            </w:r>
          </w:p>
        </w:tc>
        <w:tc>
          <w:tcPr>
            <w:tcW w:w="992" w:type="dxa"/>
            <w:shd w:val="clear" w:color="auto" w:fill="auto"/>
            <w:vAlign w:val="center"/>
          </w:tcPr>
          <w:p w14:paraId="058F1C49" w14:textId="455713DD"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15</w:t>
            </w:r>
          </w:p>
        </w:tc>
      </w:tr>
      <w:tr w:rsidR="003B6677" w:rsidRPr="0027482F" w14:paraId="0D9D9290" w14:textId="77777777" w:rsidTr="003B6677">
        <w:trPr>
          <w:trHeight w:val="56"/>
        </w:trPr>
        <w:tc>
          <w:tcPr>
            <w:tcW w:w="1276" w:type="dxa"/>
            <w:shd w:val="clear" w:color="auto" w:fill="auto"/>
            <w:vAlign w:val="center"/>
          </w:tcPr>
          <w:p w14:paraId="2B523FDA" w14:textId="38A1EF02"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rPr>
              <w:t>H/651/0250</w:t>
            </w:r>
          </w:p>
        </w:tc>
        <w:tc>
          <w:tcPr>
            <w:tcW w:w="1560" w:type="dxa"/>
            <w:shd w:val="clear" w:color="auto" w:fill="auto"/>
            <w:vAlign w:val="center"/>
          </w:tcPr>
          <w:p w14:paraId="0D684712" w14:textId="375B04E1"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CCOMO18v1</w:t>
            </w:r>
          </w:p>
        </w:tc>
        <w:tc>
          <w:tcPr>
            <w:tcW w:w="5244" w:type="dxa"/>
            <w:gridSpan w:val="2"/>
            <w:shd w:val="clear" w:color="auto" w:fill="auto"/>
            <w:vAlign w:val="center"/>
          </w:tcPr>
          <w:p w14:paraId="747B2BD8" w14:textId="39D70DD2"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Preparing and agreeing interim valuations, entitlements and final accounts in the workplace</w:t>
            </w:r>
          </w:p>
        </w:tc>
        <w:tc>
          <w:tcPr>
            <w:tcW w:w="851" w:type="dxa"/>
            <w:shd w:val="clear" w:color="auto" w:fill="auto"/>
            <w:vAlign w:val="center"/>
          </w:tcPr>
          <w:p w14:paraId="344DE10D" w14:textId="0A3A0237"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6</w:t>
            </w:r>
          </w:p>
        </w:tc>
        <w:tc>
          <w:tcPr>
            <w:tcW w:w="992" w:type="dxa"/>
            <w:shd w:val="clear" w:color="auto" w:fill="auto"/>
            <w:vAlign w:val="center"/>
          </w:tcPr>
          <w:p w14:paraId="2ABF72A3" w14:textId="6E73B20C" w:rsidR="003B6677" w:rsidRPr="003B6677" w:rsidRDefault="003B6677" w:rsidP="003B6677">
            <w:pPr>
              <w:spacing w:after="0"/>
              <w:ind w:left="0" w:firstLine="0"/>
              <w:jc w:val="center"/>
              <w:rPr>
                <w:rFonts w:ascii="Calibri" w:hAnsi="Calibri" w:cs="Calibri"/>
                <w:b/>
                <w:bCs/>
                <w:color w:val="auto"/>
                <w:sz w:val="22"/>
              </w:rPr>
            </w:pPr>
            <w:r w:rsidRPr="003B6677">
              <w:rPr>
                <w:rFonts w:ascii="Calibri" w:hAnsi="Calibri" w:cs="Calibri"/>
                <w:color w:val="auto"/>
                <w:sz w:val="22"/>
              </w:rPr>
              <w:t>17</w:t>
            </w:r>
          </w:p>
        </w:tc>
      </w:tr>
    </w:tbl>
    <w:p w14:paraId="09B797DE" w14:textId="77777777" w:rsidR="00AD641B" w:rsidRDefault="00AD641B" w:rsidP="009C46BB">
      <w:pPr>
        <w:pStyle w:val="Heading1"/>
        <w:rPr>
          <w:rFonts w:cstheme="minorHAnsi"/>
          <w:szCs w:val="24"/>
        </w:rPr>
      </w:pPr>
    </w:p>
    <w:p w14:paraId="232CBFB5" w14:textId="1374FA6B" w:rsidR="00530347" w:rsidRDefault="00C438DF" w:rsidP="009C46BB">
      <w:pPr>
        <w:pStyle w:val="Heading1"/>
        <w:rPr>
          <w:rFonts w:cstheme="minorHAnsi"/>
          <w:szCs w:val="24"/>
        </w:rPr>
      </w:pPr>
      <w:r w:rsidRPr="00A06828">
        <w:rPr>
          <w:rFonts w:cstheme="minorHAnsi"/>
          <w:szCs w:val="24"/>
        </w:rPr>
        <w:lastRenderedPageBreak/>
        <w:t xml:space="preserve">Assessment  </w:t>
      </w:r>
    </w:p>
    <w:p w14:paraId="0C7F1B89" w14:textId="77777777" w:rsidR="009F1F9B" w:rsidRPr="009F1F9B" w:rsidRDefault="009F1F9B" w:rsidP="009408EF">
      <w:pPr>
        <w:pStyle w:val="BodyText"/>
      </w:pPr>
    </w:p>
    <w:p w14:paraId="553BA0BE" w14:textId="77777777" w:rsidR="009C46BB" w:rsidRPr="009408EF" w:rsidRDefault="00C438DF" w:rsidP="00326F15">
      <w:pPr>
        <w:pStyle w:val="mainbody"/>
        <w:rPr>
          <w:rFonts w:cstheme="minorHAnsi"/>
          <w:szCs w:val="22"/>
        </w:rPr>
      </w:pPr>
      <w:r w:rsidRPr="009408EF">
        <w:rPr>
          <w:rFonts w:cstheme="minorHAnsi"/>
          <w:szCs w:val="22"/>
        </w:rPr>
        <w:t>The qualification must be assessed using the following assessment method:</w:t>
      </w:r>
    </w:p>
    <w:p w14:paraId="339FA24A" w14:textId="77777777" w:rsidR="009F1F9B" w:rsidRPr="009408EF" w:rsidRDefault="009F1F9B" w:rsidP="009408EF">
      <w:pPr>
        <w:pStyle w:val="BodyText"/>
        <w:rPr>
          <w:sz w:val="22"/>
          <w:szCs w:val="22"/>
        </w:rPr>
      </w:pPr>
    </w:p>
    <w:p w14:paraId="56FC0C1D" w14:textId="457037AD" w:rsidR="003A525B" w:rsidRPr="009408EF" w:rsidRDefault="004609F4" w:rsidP="004609F4">
      <w:pPr>
        <w:pStyle w:val="mainbody"/>
        <w:numPr>
          <w:ilvl w:val="0"/>
          <w:numId w:val="8"/>
        </w:numPr>
        <w:rPr>
          <w:rFonts w:cstheme="minorHAnsi"/>
          <w:szCs w:val="22"/>
        </w:rPr>
      </w:pPr>
      <w:r w:rsidRPr="009408EF">
        <w:rPr>
          <w:rFonts w:cstheme="minorHAnsi"/>
          <w:szCs w:val="22"/>
        </w:rPr>
        <w:t>Portfolio of Evidence</w:t>
      </w:r>
    </w:p>
    <w:p w14:paraId="3EAAC391" w14:textId="77777777" w:rsidR="009F1F9B" w:rsidRPr="009408EF" w:rsidRDefault="009F1F9B" w:rsidP="009408EF">
      <w:pPr>
        <w:pStyle w:val="BodyText"/>
        <w:rPr>
          <w:sz w:val="22"/>
          <w:szCs w:val="22"/>
        </w:rPr>
      </w:pPr>
    </w:p>
    <w:p w14:paraId="315C14FD" w14:textId="58ACE9E4" w:rsidR="009C46BB" w:rsidRPr="009408EF" w:rsidRDefault="009C46BB" w:rsidP="00326F15">
      <w:pPr>
        <w:pStyle w:val="mainbody"/>
        <w:rPr>
          <w:szCs w:val="22"/>
        </w:rPr>
      </w:pPr>
      <w:r w:rsidRPr="009408EF">
        <w:rPr>
          <w:rFonts w:cstheme="minorHAnsi"/>
          <w:szCs w:val="22"/>
        </w:rPr>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w:t>
      </w:r>
      <w:r w:rsidRPr="009408EF">
        <w:rPr>
          <w:szCs w:val="22"/>
        </w:rPr>
        <w:t xml:space="preserve"> centres is provided by GQA Qualifications. </w:t>
      </w:r>
    </w:p>
    <w:p w14:paraId="34855A48" w14:textId="69AD1DC6" w:rsidR="00530347" w:rsidRPr="009C46BB" w:rsidRDefault="00530347" w:rsidP="00326F15">
      <w:pPr>
        <w:pStyle w:val="mainbody"/>
      </w:pPr>
    </w:p>
    <w:sectPr w:rsidR="00530347" w:rsidRPr="009C46BB" w:rsidSect="00D4494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3DF37C" w14:textId="77777777" w:rsidR="00D44940" w:rsidRDefault="00D44940">
      <w:pPr>
        <w:spacing w:after="0" w:line="240" w:lineRule="auto"/>
      </w:pPr>
      <w:r>
        <w:separator/>
      </w:r>
    </w:p>
  </w:endnote>
  <w:endnote w:type="continuationSeparator" w:id="0">
    <w:p w14:paraId="5404F02B" w14:textId="77777777" w:rsidR="00D44940" w:rsidRDefault="00D4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B57AE0" w14:textId="77777777" w:rsidR="00D44940" w:rsidRDefault="00D44940">
      <w:pPr>
        <w:spacing w:after="0" w:line="240" w:lineRule="auto"/>
      </w:pPr>
      <w:r>
        <w:separator/>
      </w:r>
    </w:p>
  </w:footnote>
  <w:footnote w:type="continuationSeparator" w:id="0">
    <w:p w14:paraId="760945A3" w14:textId="77777777" w:rsidR="00D44940" w:rsidRDefault="00D44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B50A0"/>
    <w:multiLevelType w:val="hybridMultilevel"/>
    <w:tmpl w:val="87D6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4"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2"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044292">
    <w:abstractNumId w:val="1"/>
  </w:num>
  <w:num w:numId="2" w16cid:durableId="99030013">
    <w:abstractNumId w:val="11"/>
  </w:num>
  <w:num w:numId="3" w16cid:durableId="192812043">
    <w:abstractNumId w:val="16"/>
  </w:num>
  <w:num w:numId="4" w16cid:durableId="1642466116">
    <w:abstractNumId w:val="21"/>
  </w:num>
  <w:num w:numId="5" w16cid:durableId="117115345">
    <w:abstractNumId w:val="3"/>
  </w:num>
  <w:num w:numId="6" w16cid:durableId="579876116">
    <w:abstractNumId w:val="2"/>
  </w:num>
  <w:num w:numId="7" w16cid:durableId="1526479621">
    <w:abstractNumId w:val="20"/>
  </w:num>
  <w:num w:numId="8" w16cid:durableId="705443861">
    <w:abstractNumId w:val="4"/>
  </w:num>
  <w:num w:numId="9" w16cid:durableId="1680502164">
    <w:abstractNumId w:val="10"/>
  </w:num>
  <w:num w:numId="10" w16cid:durableId="1154639185">
    <w:abstractNumId w:val="14"/>
  </w:num>
  <w:num w:numId="11" w16cid:durableId="27142407">
    <w:abstractNumId w:val="6"/>
  </w:num>
  <w:num w:numId="12" w16cid:durableId="1025131092">
    <w:abstractNumId w:val="18"/>
  </w:num>
  <w:num w:numId="13" w16cid:durableId="1467045503">
    <w:abstractNumId w:val="13"/>
  </w:num>
  <w:num w:numId="14" w16cid:durableId="1948536475">
    <w:abstractNumId w:val="8"/>
  </w:num>
  <w:num w:numId="15" w16cid:durableId="210390243">
    <w:abstractNumId w:val="15"/>
  </w:num>
  <w:num w:numId="16" w16cid:durableId="1153329927">
    <w:abstractNumId w:val="7"/>
  </w:num>
  <w:num w:numId="17" w16cid:durableId="1112357444">
    <w:abstractNumId w:val="5"/>
  </w:num>
  <w:num w:numId="18" w16cid:durableId="1051422304">
    <w:abstractNumId w:val="19"/>
  </w:num>
  <w:num w:numId="19" w16cid:durableId="1869904885">
    <w:abstractNumId w:val="9"/>
  </w:num>
  <w:num w:numId="20" w16cid:durableId="1173380312">
    <w:abstractNumId w:val="22"/>
  </w:num>
  <w:num w:numId="21" w16cid:durableId="1124039026">
    <w:abstractNumId w:val="17"/>
  </w:num>
  <w:num w:numId="22" w16cid:durableId="2014411814">
    <w:abstractNumId w:val="12"/>
  </w:num>
  <w:num w:numId="23" w16cid:durableId="2034112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564"/>
    <w:rsid w:val="000029C4"/>
    <w:rsid w:val="00004DDB"/>
    <w:rsid w:val="00007195"/>
    <w:rsid w:val="00014104"/>
    <w:rsid w:val="0001741E"/>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B455E"/>
    <w:rsid w:val="000B6D77"/>
    <w:rsid w:val="000B6FCD"/>
    <w:rsid w:val="000C1703"/>
    <w:rsid w:val="000C3B83"/>
    <w:rsid w:val="000C4A99"/>
    <w:rsid w:val="000C5F1E"/>
    <w:rsid w:val="000D1149"/>
    <w:rsid w:val="000D459B"/>
    <w:rsid w:val="000D5162"/>
    <w:rsid w:val="000F1168"/>
    <w:rsid w:val="000F1642"/>
    <w:rsid w:val="000F2583"/>
    <w:rsid w:val="000F2875"/>
    <w:rsid w:val="000F3794"/>
    <w:rsid w:val="001028D2"/>
    <w:rsid w:val="00102C14"/>
    <w:rsid w:val="00105947"/>
    <w:rsid w:val="00106037"/>
    <w:rsid w:val="00106AC4"/>
    <w:rsid w:val="00107A0A"/>
    <w:rsid w:val="00122A92"/>
    <w:rsid w:val="00131996"/>
    <w:rsid w:val="00131D8F"/>
    <w:rsid w:val="00133A94"/>
    <w:rsid w:val="00134CBE"/>
    <w:rsid w:val="00143D98"/>
    <w:rsid w:val="0014481F"/>
    <w:rsid w:val="0014556C"/>
    <w:rsid w:val="00151DA3"/>
    <w:rsid w:val="00164799"/>
    <w:rsid w:val="00170195"/>
    <w:rsid w:val="00172A83"/>
    <w:rsid w:val="00185E3A"/>
    <w:rsid w:val="001861CB"/>
    <w:rsid w:val="00187B54"/>
    <w:rsid w:val="00190C2A"/>
    <w:rsid w:val="001923C1"/>
    <w:rsid w:val="001965AC"/>
    <w:rsid w:val="001970E5"/>
    <w:rsid w:val="0019730A"/>
    <w:rsid w:val="001B4B75"/>
    <w:rsid w:val="001B7284"/>
    <w:rsid w:val="001C3C8C"/>
    <w:rsid w:val="001C5460"/>
    <w:rsid w:val="001C7023"/>
    <w:rsid w:val="001C7890"/>
    <w:rsid w:val="001D12BE"/>
    <w:rsid w:val="001D3977"/>
    <w:rsid w:val="001D57FF"/>
    <w:rsid w:val="001E2780"/>
    <w:rsid w:val="001E343D"/>
    <w:rsid w:val="001E41BE"/>
    <w:rsid w:val="001E7791"/>
    <w:rsid w:val="001F17A7"/>
    <w:rsid w:val="002024F1"/>
    <w:rsid w:val="00204734"/>
    <w:rsid w:val="0020582A"/>
    <w:rsid w:val="00205FBE"/>
    <w:rsid w:val="00215488"/>
    <w:rsid w:val="00233209"/>
    <w:rsid w:val="0023354F"/>
    <w:rsid w:val="00245348"/>
    <w:rsid w:val="00245BE7"/>
    <w:rsid w:val="0024602B"/>
    <w:rsid w:val="00246496"/>
    <w:rsid w:val="002638B4"/>
    <w:rsid w:val="00264B4F"/>
    <w:rsid w:val="00270383"/>
    <w:rsid w:val="0027141B"/>
    <w:rsid w:val="00272982"/>
    <w:rsid w:val="0027473E"/>
    <w:rsid w:val="0027482F"/>
    <w:rsid w:val="002908EE"/>
    <w:rsid w:val="002A2C32"/>
    <w:rsid w:val="002B587E"/>
    <w:rsid w:val="002D6811"/>
    <w:rsid w:val="002E259E"/>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2BD0"/>
    <w:rsid w:val="00336305"/>
    <w:rsid w:val="003369FD"/>
    <w:rsid w:val="0033776B"/>
    <w:rsid w:val="00340825"/>
    <w:rsid w:val="0034181E"/>
    <w:rsid w:val="003435B4"/>
    <w:rsid w:val="0034372A"/>
    <w:rsid w:val="003521E3"/>
    <w:rsid w:val="00356A0E"/>
    <w:rsid w:val="0036023D"/>
    <w:rsid w:val="00363B02"/>
    <w:rsid w:val="0036557C"/>
    <w:rsid w:val="0036706C"/>
    <w:rsid w:val="003716B1"/>
    <w:rsid w:val="00381069"/>
    <w:rsid w:val="00383149"/>
    <w:rsid w:val="00383FF6"/>
    <w:rsid w:val="00386B4C"/>
    <w:rsid w:val="003874D0"/>
    <w:rsid w:val="003902E2"/>
    <w:rsid w:val="00390ADF"/>
    <w:rsid w:val="00395B53"/>
    <w:rsid w:val="003A1DFC"/>
    <w:rsid w:val="003A2D71"/>
    <w:rsid w:val="003A525B"/>
    <w:rsid w:val="003A6805"/>
    <w:rsid w:val="003A69F1"/>
    <w:rsid w:val="003B1225"/>
    <w:rsid w:val="003B37F5"/>
    <w:rsid w:val="003B3D34"/>
    <w:rsid w:val="003B4C52"/>
    <w:rsid w:val="003B6677"/>
    <w:rsid w:val="003B7A13"/>
    <w:rsid w:val="003C4A81"/>
    <w:rsid w:val="003D65CC"/>
    <w:rsid w:val="003D7B30"/>
    <w:rsid w:val="003E0535"/>
    <w:rsid w:val="003E15A1"/>
    <w:rsid w:val="003E44D3"/>
    <w:rsid w:val="003E580D"/>
    <w:rsid w:val="003E746B"/>
    <w:rsid w:val="003F1A03"/>
    <w:rsid w:val="003F27A6"/>
    <w:rsid w:val="003F7DAE"/>
    <w:rsid w:val="003F7EB9"/>
    <w:rsid w:val="0040341D"/>
    <w:rsid w:val="00412C84"/>
    <w:rsid w:val="004139F4"/>
    <w:rsid w:val="00421419"/>
    <w:rsid w:val="00450496"/>
    <w:rsid w:val="004609F4"/>
    <w:rsid w:val="004619FE"/>
    <w:rsid w:val="004647B8"/>
    <w:rsid w:val="004679D1"/>
    <w:rsid w:val="00481699"/>
    <w:rsid w:val="00486F4B"/>
    <w:rsid w:val="0049109B"/>
    <w:rsid w:val="00493B69"/>
    <w:rsid w:val="004A6480"/>
    <w:rsid w:val="004B0612"/>
    <w:rsid w:val="004B4F57"/>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163"/>
    <w:rsid w:val="0057747B"/>
    <w:rsid w:val="00581391"/>
    <w:rsid w:val="00583017"/>
    <w:rsid w:val="00583374"/>
    <w:rsid w:val="00585AAB"/>
    <w:rsid w:val="00594B7E"/>
    <w:rsid w:val="005A30A0"/>
    <w:rsid w:val="005A379A"/>
    <w:rsid w:val="005A6093"/>
    <w:rsid w:val="005B0D00"/>
    <w:rsid w:val="005B2174"/>
    <w:rsid w:val="005B532E"/>
    <w:rsid w:val="005B6EA3"/>
    <w:rsid w:val="005C098A"/>
    <w:rsid w:val="005C318C"/>
    <w:rsid w:val="005C4AC5"/>
    <w:rsid w:val="005C4DD7"/>
    <w:rsid w:val="005D75B5"/>
    <w:rsid w:val="005E1BAB"/>
    <w:rsid w:val="005E47C4"/>
    <w:rsid w:val="005F051A"/>
    <w:rsid w:val="005F053E"/>
    <w:rsid w:val="005F0E9B"/>
    <w:rsid w:val="005F439D"/>
    <w:rsid w:val="005F48DA"/>
    <w:rsid w:val="005F7ABF"/>
    <w:rsid w:val="00607C22"/>
    <w:rsid w:val="00612BD4"/>
    <w:rsid w:val="00615CE7"/>
    <w:rsid w:val="00624F4B"/>
    <w:rsid w:val="006305EC"/>
    <w:rsid w:val="00631A6D"/>
    <w:rsid w:val="006441BA"/>
    <w:rsid w:val="006465C4"/>
    <w:rsid w:val="00646F10"/>
    <w:rsid w:val="006515EA"/>
    <w:rsid w:val="00652C1F"/>
    <w:rsid w:val="00654B9A"/>
    <w:rsid w:val="006573D9"/>
    <w:rsid w:val="006670AA"/>
    <w:rsid w:val="006704D9"/>
    <w:rsid w:val="00684F76"/>
    <w:rsid w:val="00692521"/>
    <w:rsid w:val="0069383A"/>
    <w:rsid w:val="00693EBA"/>
    <w:rsid w:val="006946A8"/>
    <w:rsid w:val="006A1770"/>
    <w:rsid w:val="006A17C7"/>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06DA9"/>
    <w:rsid w:val="00745404"/>
    <w:rsid w:val="00747D8A"/>
    <w:rsid w:val="007563D4"/>
    <w:rsid w:val="0076139A"/>
    <w:rsid w:val="0076252D"/>
    <w:rsid w:val="00765D04"/>
    <w:rsid w:val="00766C39"/>
    <w:rsid w:val="00767C37"/>
    <w:rsid w:val="00777A5D"/>
    <w:rsid w:val="00777A65"/>
    <w:rsid w:val="0078088B"/>
    <w:rsid w:val="00784776"/>
    <w:rsid w:val="00785781"/>
    <w:rsid w:val="00785D73"/>
    <w:rsid w:val="00790F6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1903"/>
    <w:rsid w:val="00816924"/>
    <w:rsid w:val="00823C94"/>
    <w:rsid w:val="00827E42"/>
    <w:rsid w:val="008377CB"/>
    <w:rsid w:val="00864665"/>
    <w:rsid w:val="00865010"/>
    <w:rsid w:val="00872E03"/>
    <w:rsid w:val="00877149"/>
    <w:rsid w:val="00877C2B"/>
    <w:rsid w:val="00880070"/>
    <w:rsid w:val="0088470B"/>
    <w:rsid w:val="00884967"/>
    <w:rsid w:val="008B33EB"/>
    <w:rsid w:val="008B3D57"/>
    <w:rsid w:val="008B53F2"/>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1749E"/>
    <w:rsid w:val="009342AB"/>
    <w:rsid w:val="00936BE9"/>
    <w:rsid w:val="009373EF"/>
    <w:rsid w:val="009408EF"/>
    <w:rsid w:val="009408F0"/>
    <w:rsid w:val="00941F52"/>
    <w:rsid w:val="0094305C"/>
    <w:rsid w:val="00945496"/>
    <w:rsid w:val="00953AB9"/>
    <w:rsid w:val="00954E4F"/>
    <w:rsid w:val="009554CF"/>
    <w:rsid w:val="00961063"/>
    <w:rsid w:val="009635DE"/>
    <w:rsid w:val="00963D12"/>
    <w:rsid w:val="00966218"/>
    <w:rsid w:val="00972840"/>
    <w:rsid w:val="009757A2"/>
    <w:rsid w:val="00975FA7"/>
    <w:rsid w:val="00981BDE"/>
    <w:rsid w:val="00983A3F"/>
    <w:rsid w:val="00984138"/>
    <w:rsid w:val="00986D5C"/>
    <w:rsid w:val="00992C15"/>
    <w:rsid w:val="00993392"/>
    <w:rsid w:val="009933F3"/>
    <w:rsid w:val="00994911"/>
    <w:rsid w:val="009971A8"/>
    <w:rsid w:val="009A3258"/>
    <w:rsid w:val="009A45CD"/>
    <w:rsid w:val="009B4B6E"/>
    <w:rsid w:val="009B680D"/>
    <w:rsid w:val="009C03A9"/>
    <w:rsid w:val="009C25C3"/>
    <w:rsid w:val="009C46BB"/>
    <w:rsid w:val="009E2FD5"/>
    <w:rsid w:val="009E4AFE"/>
    <w:rsid w:val="009E791F"/>
    <w:rsid w:val="009F14DC"/>
    <w:rsid w:val="009F1F9B"/>
    <w:rsid w:val="009F6521"/>
    <w:rsid w:val="00A035E6"/>
    <w:rsid w:val="00A043E9"/>
    <w:rsid w:val="00A057A8"/>
    <w:rsid w:val="00A06828"/>
    <w:rsid w:val="00A1191F"/>
    <w:rsid w:val="00A13EF1"/>
    <w:rsid w:val="00A15B60"/>
    <w:rsid w:val="00A26AED"/>
    <w:rsid w:val="00A309B6"/>
    <w:rsid w:val="00A33A85"/>
    <w:rsid w:val="00A438E3"/>
    <w:rsid w:val="00A465CE"/>
    <w:rsid w:val="00A5018A"/>
    <w:rsid w:val="00A5046A"/>
    <w:rsid w:val="00A55E01"/>
    <w:rsid w:val="00A574EB"/>
    <w:rsid w:val="00A60E38"/>
    <w:rsid w:val="00A64323"/>
    <w:rsid w:val="00A65A51"/>
    <w:rsid w:val="00A723F8"/>
    <w:rsid w:val="00A75A9B"/>
    <w:rsid w:val="00A76DCB"/>
    <w:rsid w:val="00A802A3"/>
    <w:rsid w:val="00A816F4"/>
    <w:rsid w:val="00A8473B"/>
    <w:rsid w:val="00A92EBF"/>
    <w:rsid w:val="00AA302E"/>
    <w:rsid w:val="00AA5EE6"/>
    <w:rsid w:val="00AA62CD"/>
    <w:rsid w:val="00AB1807"/>
    <w:rsid w:val="00AC0AE3"/>
    <w:rsid w:val="00AC5090"/>
    <w:rsid w:val="00AD18A3"/>
    <w:rsid w:val="00AD641B"/>
    <w:rsid w:val="00AD785C"/>
    <w:rsid w:val="00AE6151"/>
    <w:rsid w:val="00AE7082"/>
    <w:rsid w:val="00AF0D3C"/>
    <w:rsid w:val="00AF148E"/>
    <w:rsid w:val="00B06065"/>
    <w:rsid w:val="00B06321"/>
    <w:rsid w:val="00B07C13"/>
    <w:rsid w:val="00B11B22"/>
    <w:rsid w:val="00B128D5"/>
    <w:rsid w:val="00B1501E"/>
    <w:rsid w:val="00B217D6"/>
    <w:rsid w:val="00B239C8"/>
    <w:rsid w:val="00B2587A"/>
    <w:rsid w:val="00B34FE0"/>
    <w:rsid w:val="00B35202"/>
    <w:rsid w:val="00B36E20"/>
    <w:rsid w:val="00B37AA8"/>
    <w:rsid w:val="00B408C2"/>
    <w:rsid w:val="00B43D5C"/>
    <w:rsid w:val="00B50C6C"/>
    <w:rsid w:val="00B51435"/>
    <w:rsid w:val="00B52FB4"/>
    <w:rsid w:val="00B55EE1"/>
    <w:rsid w:val="00B8023C"/>
    <w:rsid w:val="00B92666"/>
    <w:rsid w:val="00B957AE"/>
    <w:rsid w:val="00B95CAF"/>
    <w:rsid w:val="00BA2083"/>
    <w:rsid w:val="00BA2D2F"/>
    <w:rsid w:val="00BA351F"/>
    <w:rsid w:val="00BB2B93"/>
    <w:rsid w:val="00BB5373"/>
    <w:rsid w:val="00BC1C78"/>
    <w:rsid w:val="00BC4702"/>
    <w:rsid w:val="00BC6742"/>
    <w:rsid w:val="00BD346E"/>
    <w:rsid w:val="00BD6F0E"/>
    <w:rsid w:val="00BE2993"/>
    <w:rsid w:val="00BF1816"/>
    <w:rsid w:val="00BF4D0E"/>
    <w:rsid w:val="00BF7710"/>
    <w:rsid w:val="00BF7DF0"/>
    <w:rsid w:val="00C024A6"/>
    <w:rsid w:val="00C0469F"/>
    <w:rsid w:val="00C05171"/>
    <w:rsid w:val="00C06204"/>
    <w:rsid w:val="00C22B34"/>
    <w:rsid w:val="00C23FAB"/>
    <w:rsid w:val="00C27775"/>
    <w:rsid w:val="00C438DF"/>
    <w:rsid w:val="00C475D0"/>
    <w:rsid w:val="00C52396"/>
    <w:rsid w:val="00C5742B"/>
    <w:rsid w:val="00C6577E"/>
    <w:rsid w:val="00C65B2E"/>
    <w:rsid w:val="00C67881"/>
    <w:rsid w:val="00C70E04"/>
    <w:rsid w:val="00C7460D"/>
    <w:rsid w:val="00C75511"/>
    <w:rsid w:val="00C77F0A"/>
    <w:rsid w:val="00C82A6E"/>
    <w:rsid w:val="00C87A67"/>
    <w:rsid w:val="00C9183D"/>
    <w:rsid w:val="00C91FAB"/>
    <w:rsid w:val="00C94C15"/>
    <w:rsid w:val="00C95428"/>
    <w:rsid w:val="00CA4318"/>
    <w:rsid w:val="00CA49F9"/>
    <w:rsid w:val="00CA744F"/>
    <w:rsid w:val="00CB0FAA"/>
    <w:rsid w:val="00CB3631"/>
    <w:rsid w:val="00CB4C19"/>
    <w:rsid w:val="00CC21F7"/>
    <w:rsid w:val="00CD0010"/>
    <w:rsid w:val="00CD31A6"/>
    <w:rsid w:val="00CD4B4C"/>
    <w:rsid w:val="00CE2E2E"/>
    <w:rsid w:val="00CE5AEE"/>
    <w:rsid w:val="00CF72FF"/>
    <w:rsid w:val="00D13108"/>
    <w:rsid w:val="00D15926"/>
    <w:rsid w:val="00D15A92"/>
    <w:rsid w:val="00D20DF4"/>
    <w:rsid w:val="00D21911"/>
    <w:rsid w:val="00D23F71"/>
    <w:rsid w:val="00D43D88"/>
    <w:rsid w:val="00D44940"/>
    <w:rsid w:val="00D44A32"/>
    <w:rsid w:val="00D4704C"/>
    <w:rsid w:val="00D506FA"/>
    <w:rsid w:val="00D51982"/>
    <w:rsid w:val="00D522FD"/>
    <w:rsid w:val="00D53A8E"/>
    <w:rsid w:val="00D53BA0"/>
    <w:rsid w:val="00D6321E"/>
    <w:rsid w:val="00D64E46"/>
    <w:rsid w:val="00D70711"/>
    <w:rsid w:val="00D725E9"/>
    <w:rsid w:val="00D72A47"/>
    <w:rsid w:val="00D75C4B"/>
    <w:rsid w:val="00D80D05"/>
    <w:rsid w:val="00D82BB9"/>
    <w:rsid w:val="00D83B18"/>
    <w:rsid w:val="00DA621B"/>
    <w:rsid w:val="00DB3582"/>
    <w:rsid w:val="00DB7FE6"/>
    <w:rsid w:val="00DC5B6A"/>
    <w:rsid w:val="00DD6736"/>
    <w:rsid w:val="00DE05D5"/>
    <w:rsid w:val="00DE1250"/>
    <w:rsid w:val="00DE3646"/>
    <w:rsid w:val="00DF069A"/>
    <w:rsid w:val="00DF0890"/>
    <w:rsid w:val="00DF203B"/>
    <w:rsid w:val="00DF4BF0"/>
    <w:rsid w:val="00DF5757"/>
    <w:rsid w:val="00DF7CF7"/>
    <w:rsid w:val="00E06C15"/>
    <w:rsid w:val="00E16CB3"/>
    <w:rsid w:val="00E20339"/>
    <w:rsid w:val="00E2067D"/>
    <w:rsid w:val="00E226BA"/>
    <w:rsid w:val="00E23E3D"/>
    <w:rsid w:val="00E34368"/>
    <w:rsid w:val="00E35775"/>
    <w:rsid w:val="00E360ED"/>
    <w:rsid w:val="00E41C2E"/>
    <w:rsid w:val="00E4259A"/>
    <w:rsid w:val="00E5157F"/>
    <w:rsid w:val="00E52EC4"/>
    <w:rsid w:val="00E54D1D"/>
    <w:rsid w:val="00E55187"/>
    <w:rsid w:val="00E620D1"/>
    <w:rsid w:val="00E63A4B"/>
    <w:rsid w:val="00E66B0D"/>
    <w:rsid w:val="00E7188B"/>
    <w:rsid w:val="00E74199"/>
    <w:rsid w:val="00EA113A"/>
    <w:rsid w:val="00EA118A"/>
    <w:rsid w:val="00EB118C"/>
    <w:rsid w:val="00EB18D3"/>
    <w:rsid w:val="00EB49E8"/>
    <w:rsid w:val="00EB4ABB"/>
    <w:rsid w:val="00EB59AE"/>
    <w:rsid w:val="00EB6591"/>
    <w:rsid w:val="00EB76ED"/>
    <w:rsid w:val="00EC0F54"/>
    <w:rsid w:val="00EC5486"/>
    <w:rsid w:val="00EC62A5"/>
    <w:rsid w:val="00EC7FAA"/>
    <w:rsid w:val="00EE2964"/>
    <w:rsid w:val="00EE3744"/>
    <w:rsid w:val="00EE7374"/>
    <w:rsid w:val="00EF242E"/>
    <w:rsid w:val="00F00764"/>
    <w:rsid w:val="00F172D2"/>
    <w:rsid w:val="00F24CC7"/>
    <w:rsid w:val="00F30676"/>
    <w:rsid w:val="00F30A63"/>
    <w:rsid w:val="00F33C37"/>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B31CF"/>
    <w:rsid w:val="00FB5DC3"/>
    <w:rsid w:val="00FC55F3"/>
    <w:rsid w:val="00FD0384"/>
    <w:rsid w:val="00FD044A"/>
    <w:rsid w:val="00FD0EFE"/>
    <w:rsid w:val="00FD7179"/>
    <w:rsid w:val="00FD71F7"/>
    <w:rsid w:val="00FE0C75"/>
    <w:rsid w:val="00FE4C44"/>
    <w:rsid w:val="00FE62D0"/>
    <w:rsid w:val="00FE639E"/>
    <w:rsid w:val="00FF0066"/>
    <w:rsid w:val="00FF05A2"/>
    <w:rsid w:val="00FF1C28"/>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nhideWhenUsed/>
    <w:rsid w:val="000F1642"/>
    <w:pPr>
      <w:widowControl w:val="0"/>
      <w:tabs>
        <w:tab w:val="center" w:pos="4513"/>
        <w:tab w:val="right" w:pos="9026"/>
      </w:tabs>
      <w:autoSpaceDE w:val="0"/>
      <w:autoSpaceDN w:val="0"/>
      <w:spacing w:after="0" w:line="240" w:lineRule="auto"/>
      <w:ind w:left="0" w:firstLine="0"/>
      <w:jc w:val="left"/>
    </w:pPr>
    <w:rPr>
      <w:rFonts w:ascii="Calibri" w:eastAsia="Calibri" w:hAnsi="Calibri" w:cs="Calibri"/>
      <w:color w:val="auto"/>
      <w:sz w:val="22"/>
      <w:lang w:val="en-US" w:eastAsia="en-US"/>
    </w:rPr>
  </w:style>
  <w:style w:type="character" w:customStyle="1" w:styleId="FooterChar">
    <w:name w:val="Footer Char"/>
    <w:basedOn w:val="DefaultParagraphFont"/>
    <w:link w:val="Footer"/>
    <w:rsid w:val="000F1642"/>
    <w:rPr>
      <w:rFonts w:ascii="Calibri" w:eastAsia="Calibri" w:hAnsi="Calibri" w:cs="Calibri"/>
      <w:lang w:val="en-US" w:eastAsia="en-US"/>
    </w:rPr>
  </w:style>
  <w:style w:type="paragraph" w:styleId="BodyText">
    <w:name w:val="Body Text"/>
    <w:basedOn w:val="Normal"/>
    <w:link w:val="BodyTextChar"/>
    <w:uiPriority w:val="1"/>
    <w:qFormat/>
    <w:rsid w:val="004619FE"/>
    <w:pPr>
      <w:widowControl w:val="0"/>
      <w:autoSpaceDE w:val="0"/>
      <w:autoSpaceDN w:val="0"/>
      <w:spacing w:after="0" w:line="240" w:lineRule="auto"/>
      <w:ind w:left="0" w:firstLine="0"/>
      <w:jc w:val="left"/>
    </w:pPr>
    <w:rPr>
      <w:rFonts w:ascii="Calibri" w:eastAsia="Calibri" w:hAnsi="Calibri" w:cs="Calibri"/>
      <w:color w:val="auto"/>
      <w:szCs w:val="20"/>
      <w:lang w:val="en-US" w:eastAsia="en-US"/>
    </w:rPr>
  </w:style>
  <w:style w:type="character" w:customStyle="1" w:styleId="BodyTextChar">
    <w:name w:val="Body Text Char"/>
    <w:basedOn w:val="DefaultParagraphFont"/>
    <w:link w:val="BodyText"/>
    <w:uiPriority w:val="1"/>
    <w:rsid w:val="004619FE"/>
    <w:rPr>
      <w:rFonts w:ascii="Calibri" w:eastAsia="Calibri" w:hAnsi="Calibri" w:cs="Calibri"/>
      <w:sz w:val="20"/>
      <w:szCs w:val="20"/>
      <w:lang w:val="en-US" w:eastAsia="en-US"/>
    </w:rPr>
  </w:style>
  <w:style w:type="paragraph" w:customStyle="1" w:styleId="TableParagraph">
    <w:name w:val="Table Paragraph"/>
    <w:basedOn w:val="Normal"/>
    <w:uiPriority w:val="1"/>
    <w:qFormat/>
    <w:rsid w:val="004619FE"/>
    <w:pPr>
      <w:widowControl w:val="0"/>
      <w:autoSpaceDE w:val="0"/>
      <w:autoSpaceDN w:val="0"/>
      <w:spacing w:after="0" w:line="240" w:lineRule="auto"/>
      <w:ind w:left="0" w:firstLine="0"/>
      <w:jc w:val="left"/>
    </w:pPr>
    <w:rPr>
      <w:rFonts w:ascii="Calibri" w:eastAsia="Calibri" w:hAnsi="Calibri" w:cs="Calibri"/>
      <w:color w:val="auto"/>
      <w:sz w:val="22"/>
      <w:lang w:val="en-US" w:eastAsia="en-US"/>
    </w:rPr>
  </w:style>
  <w:style w:type="character" w:styleId="CommentReference">
    <w:name w:val="annotation reference"/>
    <w:basedOn w:val="DefaultParagraphFont"/>
    <w:uiPriority w:val="99"/>
    <w:semiHidden/>
    <w:unhideWhenUsed/>
    <w:rsid w:val="006515EA"/>
    <w:rPr>
      <w:sz w:val="16"/>
      <w:szCs w:val="16"/>
    </w:rPr>
  </w:style>
  <w:style w:type="paragraph" w:styleId="CommentText">
    <w:name w:val="annotation text"/>
    <w:basedOn w:val="Normal"/>
    <w:link w:val="CommentTextChar"/>
    <w:uiPriority w:val="99"/>
    <w:unhideWhenUsed/>
    <w:rsid w:val="006515EA"/>
    <w:pPr>
      <w:spacing w:line="240" w:lineRule="auto"/>
    </w:pPr>
    <w:rPr>
      <w:szCs w:val="20"/>
    </w:rPr>
  </w:style>
  <w:style w:type="character" w:customStyle="1" w:styleId="CommentTextChar">
    <w:name w:val="Comment Text Char"/>
    <w:basedOn w:val="DefaultParagraphFont"/>
    <w:link w:val="CommentText"/>
    <w:uiPriority w:val="99"/>
    <w:rsid w:val="006515EA"/>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6515EA"/>
    <w:rPr>
      <w:b/>
      <w:bCs/>
    </w:rPr>
  </w:style>
  <w:style w:type="character" w:customStyle="1" w:styleId="CommentSubjectChar">
    <w:name w:val="Comment Subject Char"/>
    <w:basedOn w:val="CommentTextChar"/>
    <w:link w:val="CommentSubject"/>
    <w:uiPriority w:val="99"/>
    <w:semiHidden/>
    <w:rsid w:val="006515EA"/>
    <w:rPr>
      <w:rFonts w:ascii="Verdana" w:eastAsia="Verdana" w:hAnsi="Verdana" w:cs="Verdana"/>
      <w:b/>
      <w:bCs/>
      <w:color w:val="000000"/>
      <w:sz w:val="20"/>
      <w:szCs w:val="20"/>
    </w:rPr>
  </w:style>
  <w:style w:type="character" w:styleId="Strong">
    <w:name w:val="Strong"/>
    <w:basedOn w:val="DefaultParagraphFont"/>
    <w:uiPriority w:val="22"/>
    <w:qFormat/>
    <w:rsid w:val="00102C14"/>
    <w:rPr>
      <w:b/>
      <w:bCs/>
    </w:rPr>
  </w:style>
  <w:style w:type="paragraph" w:styleId="NoSpacing">
    <w:name w:val="No Spacing"/>
    <w:uiPriority w:val="1"/>
    <w:qFormat/>
    <w:rsid w:val="00F33C37"/>
    <w:pPr>
      <w:spacing w:after="0" w:line="240" w:lineRule="auto"/>
      <w:ind w:left="17" w:hanging="10"/>
      <w:jc w:val="both"/>
    </w:pPr>
    <w:rPr>
      <w:rFonts w:ascii="Verdana" w:eastAsia="Verdana" w:hAnsi="Verdana" w:cs="Verdana"/>
      <w:color w:val="000000"/>
      <w:sz w:val="20"/>
    </w:rPr>
  </w:style>
  <w:style w:type="paragraph" w:styleId="Revision">
    <w:name w:val="Revision"/>
    <w:hidden/>
    <w:uiPriority w:val="99"/>
    <w:semiHidden/>
    <w:rsid w:val="00E06C15"/>
    <w:pPr>
      <w:spacing w:after="0" w:line="240" w:lineRule="auto"/>
    </w:pPr>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128392">
      <w:bodyDiv w:val="1"/>
      <w:marLeft w:val="0"/>
      <w:marRight w:val="0"/>
      <w:marTop w:val="0"/>
      <w:marBottom w:val="0"/>
      <w:divBdr>
        <w:top w:val="none" w:sz="0" w:space="0" w:color="auto"/>
        <w:left w:val="none" w:sz="0" w:space="0" w:color="auto"/>
        <w:bottom w:val="none" w:sz="0" w:space="0" w:color="auto"/>
        <w:right w:val="none" w:sz="0" w:space="0" w:color="auto"/>
      </w:divBdr>
    </w:div>
    <w:div w:id="121653364">
      <w:bodyDiv w:val="1"/>
      <w:marLeft w:val="0"/>
      <w:marRight w:val="0"/>
      <w:marTop w:val="0"/>
      <w:marBottom w:val="0"/>
      <w:divBdr>
        <w:top w:val="none" w:sz="0" w:space="0" w:color="auto"/>
        <w:left w:val="none" w:sz="0" w:space="0" w:color="auto"/>
        <w:bottom w:val="none" w:sz="0" w:space="0" w:color="auto"/>
        <w:right w:val="none" w:sz="0" w:space="0" w:color="auto"/>
      </w:divBdr>
    </w:div>
    <w:div w:id="125391411">
      <w:bodyDiv w:val="1"/>
      <w:marLeft w:val="0"/>
      <w:marRight w:val="0"/>
      <w:marTop w:val="0"/>
      <w:marBottom w:val="0"/>
      <w:divBdr>
        <w:top w:val="none" w:sz="0" w:space="0" w:color="auto"/>
        <w:left w:val="none" w:sz="0" w:space="0" w:color="auto"/>
        <w:bottom w:val="none" w:sz="0" w:space="0" w:color="auto"/>
        <w:right w:val="none" w:sz="0" w:space="0" w:color="auto"/>
      </w:divBdr>
    </w:div>
    <w:div w:id="164710196">
      <w:bodyDiv w:val="1"/>
      <w:marLeft w:val="0"/>
      <w:marRight w:val="0"/>
      <w:marTop w:val="0"/>
      <w:marBottom w:val="0"/>
      <w:divBdr>
        <w:top w:val="none" w:sz="0" w:space="0" w:color="auto"/>
        <w:left w:val="none" w:sz="0" w:space="0" w:color="auto"/>
        <w:bottom w:val="none" w:sz="0" w:space="0" w:color="auto"/>
        <w:right w:val="none" w:sz="0" w:space="0" w:color="auto"/>
      </w:divBdr>
    </w:div>
    <w:div w:id="197860243">
      <w:bodyDiv w:val="1"/>
      <w:marLeft w:val="0"/>
      <w:marRight w:val="0"/>
      <w:marTop w:val="0"/>
      <w:marBottom w:val="0"/>
      <w:divBdr>
        <w:top w:val="none" w:sz="0" w:space="0" w:color="auto"/>
        <w:left w:val="none" w:sz="0" w:space="0" w:color="auto"/>
        <w:bottom w:val="none" w:sz="0" w:space="0" w:color="auto"/>
        <w:right w:val="none" w:sz="0" w:space="0" w:color="auto"/>
      </w:divBdr>
    </w:div>
    <w:div w:id="205530940">
      <w:bodyDiv w:val="1"/>
      <w:marLeft w:val="0"/>
      <w:marRight w:val="0"/>
      <w:marTop w:val="0"/>
      <w:marBottom w:val="0"/>
      <w:divBdr>
        <w:top w:val="none" w:sz="0" w:space="0" w:color="auto"/>
        <w:left w:val="none" w:sz="0" w:space="0" w:color="auto"/>
        <w:bottom w:val="none" w:sz="0" w:space="0" w:color="auto"/>
        <w:right w:val="none" w:sz="0" w:space="0" w:color="auto"/>
      </w:divBdr>
    </w:div>
    <w:div w:id="336274494">
      <w:bodyDiv w:val="1"/>
      <w:marLeft w:val="0"/>
      <w:marRight w:val="0"/>
      <w:marTop w:val="0"/>
      <w:marBottom w:val="0"/>
      <w:divBdr>
        <w:top w:val="none" w:sz="0" w:space="0" w:color="auto"/>
        <w:left w:val="none" w:sz="0" w:space="0" w:color="auto"/>
        <w:bottom w:val="none" w:sz="0" w:space="0" w:color="auto"/>
        <w:right w:val="none" w:sz="0" w:space="0" w:color="auto"/>
      </w:divBdr>
    </w:div>
    <w:div w:id="423496713">
      <w:bodyDiv w:val="1"/>
      <w:marLeft w:val="0"/>
      <w:marRight w:val="0"/>
      <w:marTop w:val="0"/>
      <w:marBottom w:val="0"/>
      <w:divBdr>
        <w:top w:val="none" w:sz="0" w:space="0" w:color="auto"/>
        <w:left w:val="none" w:sz="0" w:space="0" w:color="auto"/>
        <w:bottom w:val="none" w:sz="0" w:space="0" w:color="auto"/>
        <w:right w:val="none" w:sz="0" w:space="0" w:color="auto"/>
      </w:divBdr>
    </w:div>
    <w:div w:id="525171665">
      <w:bodyDiv w:val="1"/>
      <w:marLeft w:val="0"/>
      <w:marRight w:val="0"/>
      <w:marTop w:val="0"/>
      <w:marBottom w:val="0"/>
      <w:divBdr>
        <w:top w:val="none" w:sz="0" w:space="0" w:color="auto"/>
        <w:left w:val="none" w:sz="0" w:space="0" w:color="auto"/>
        <w:bottom w:val="none" w:sz="0" w:space="0" w:color="auto"/>
        <w:right w:val="none" w:sz="0" w:space="0" w:color="auto"/>
      </w:divBdr>
    </w:div>
    <w:div w:id="525605297">
      <w:bodyDiv w:val="1"/>
      <w:marLeft w:val="0"/>
      <w:marRight w:val="0"/>
      <w:marTop w:val="0"/>
      <w:marBottom w:val="0"/>
      <w:divBdr>
        <w:top w:val="none" w:sz="0" w:space="0" w:color="auto"/>
        <w:left w:val="none" w:sz="0" w:space="0" w:color="auto"/>
        <w:bottom w:val="none" w:sz="0" w:space="0" w:color="auto"/>
        <w:right w:val="none" w:sz="0" w:space="0" w:color="auto"/>
      </w:divBdr>
    </w:div>
    <w:div w:id="548150221">
      <w:bodyDiv w:val="1"/>
      <w:marLeft w:val="0"/>
      <w:marRight w:val="0"/>
      <w:marTop w:val="0"/>
      <w:marBottom w:val="0"/>
      <w:divBdr>
        <w:top w:val="none" w:sz="0" w:space="0" w:color="auto"/>
        <w:left w:val="none" w:sz="0" w:space="0" w:color="auto"/>
        <w:bottom w:val="none" w:sz="0" w:space="0" w:color="auto"/>
        <w:right w:val="none" w:sz="0" w:space="0" w:color="auto"/>
      </w:divBdr>
    </w:div>
    <w:div w:id="552692461">
      <w:bodyDiv w:val="1"/>
      <w:marLeft w:val="0"/>
      <w:marRight w:val="0"/>
      <w:marTop w:val="0"/>
      <w:marBottom w:val="0"/>
      <w:divBdr>
        <w:top w:val="none" w:sz="0" w:space="0" w:color="auto"/>
        <w:left w:val="none" w:sz="0" w:space="0" w:color="auto"/>
        <w:bottom w:val="none" w:sz="0" w:space="0" w:color="auto"/>
        <w:right w:val="none" w:sz="0" w:space="0" w:color="auto"/>
      </w:divBdr>
    </w:div>
    <w:div w:id="564801178">
      <w:bodyDiv w:val="1"/>
      <w:marLeft w:val="0"/>
      <w:marRight w:val="0"/>
      <w:marTop w:val="0"/>
      <w:marBottom w:val="0"/>
      <w:divBdr>
        <w:top w:val="none" w:sz="0" w:space="0" w:color="auto"/>
        <w:left w:val="none" w:sz="0" w:space="0" w:color="auto"/>
        <w:bottom w:val="none" w:sz="0" w:space="0" w:color="auto"/>
        <w:right w:val="none" w:sz="0" w:space="0" w:color="auto"/>
      </w:divBdr>
    </w:div>
    <w:div w:id="573007272">
      <w:bodyDiv w:val="1"/>
      <w:marLeft w:val="0"/>
      <w:marRight w:val="0"/>
      <w:marTop w:val="0"/>
      <w:marBottom w:val="0"/>
      <w:divBdr>
        <w:top w:val="none" w:sz="0" w:space="0" w:color="auto"/>
        <w:left w:val="none" w:sz="0" w:space="0" w:color="auto"/>
        <w:bottom w:val="none" w:sz="0" w:space="0" w:color="auto"/>
        <w:right w:val="none" w:sz="0" w:space="0" w:color="auto"/>
      </w:divBdr>
    </w:div>
    <w:div w:id="685716408">
      <w:bodyDiv w:val="1"/>
      <w:marLeft w:val="0"/>
      <w:marRight w:val="0"/>
      <w:marTop w:val="0"/>
      <w:marBottom w:val="0"/>
      <w:divBdr>
        <w:top w:val="none" w:sz="0" w:space="0" w:color="auto"/>
        <w:left w:val="none" w:sz="0" w:space="0" w:color="auto"/>
        <w:bottom w:val="none" w:sz="0" w:space="0" w:color="auto"/>
        <w:right w:val="none" w:sz="0" w:space="0" w:color="auto"/>
      </w:divBdr>
    </w:div>
    <w:div w:id="714162202">
      <w:bodyDiv w:val="1"/>
      <w:marLeft w:val="0"/>
      <w:marRight w:val="0"/>
      <w:marTop w:val="0"/>
      <w:marBottom w:val="0"/>
      <w:divBdr>
        <w:top w:val="none" w:sz="0" w:space="0" w:color="auto"/>
        <w:left w:val="none" w:sz="0" w:space="0" w:color="auto"/>
        <w:bottom w:val="none" w:sz="0" w:space="0" w:color="auto"/>
        <w:right w:val="none" w:sz="0" w:space="0" w:color="auto"/>
      </w:divBdr>
    </w:div>
    <w:div w:id="946159490">
      <w:bodyDiv w:val="1"/>
      <w:marLeft w:val="0"/>
      <w:marRight w:val="0"/>
      <w:marTop w:val="0"/>
      <w:marBottom w:val="0"/>
      <w:divBdr>
        <w:top w:val="none" w:sz="0" w:space="0" w:color="auto"/>
        <w:left w:val="none" w:sz="0" w:space="0" w:color="auto"/>
        <w:bottom w:val="none" w:sz="0" w:space="0" w:color="auto"/>
        <w:right w:val="none" w:sz="0" w:space="0" w:color="auto"/>
      </w:divBdr>
    </w:div>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171599714">
      <w:bodyDiv w:val="1"/>
      <w:marLeft w:val="0"/>
      <w:marRight w:val="0"/>
      <w:marTop w:val="0"/>
      <w:marBottom w:val="0"/>
      <w:divBdr>
        <w:top w:val="none" w:sz="0" w:space="0" w:color="auto"/>
        <w:left w:val="none" w:sz="0" w:space="0" w:color="auto"/>
        <w:bottom w:val="none" w:sz="0" w:space="0" w:color="auto"/>
        <w:right w:val="none" w:sz="0" w:space="0" w:color="auto"/>
      </w:divBdr>
    </w:div>
    <w:div w:id="1325208089">
      <w:bodyDiv w:val="1"/>
      <w:marLeft w:val="0"/>
      <w:marRight w:val="0"/>
      <w:marTop w:val="0"/>
      <w:marBottom w:val="0"/>
      <w:divBdr>
        <w:top w:val="none" w:sz="0" w:space="0" w:color="auto"/>
        <w:left w:val="none" w:sz="0" w:space="0" w:color="auto"/>
        <w:bottom w:val="none" w:sz="0" w:space="0" w:color="auto"/>
        <w:right w:val="none" w:sz="0" w:space="0" w:color="auto"/>
      </w:divBdr>
    </w:div>
    <w:div w:id="1427270618">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 w:id="1636520372">
      <w:bodyDiv w:val="1"/>
      <w:marLeft w:val="0"/>
      <w:marRight w:val="0"/>
      <w:marTop w:val="0"/>
      <w:marBottom w:val="0"/>
      <w:divBdr>
        <w:top w:val="none" w:sz="0" w:space="0" w:color="auto"/>
        <w:left w:val="none" w:sz="0" w:space="0" w:color="auto"/>
        <w:bottom w:val="none" w:sz="0" w:space="0" w:color="auto"/>
        <w:right w:val="none" w:sz="0" w:space="0" w:color="auto"/>
      </w:divBdr>
    </w:div>
    <w:div w:id="1871526162">
      <w:bodyDiv w:val="1"/>
      <w:marLeft w:val="0"/>
      <w:marRight w:val="0"/>
      <w:marTop w:val="0"/>
      <w:marBottom w:val="0"/>
      <w:divBdr>
        <w:top w:val="none" w:sz="0" w:space="0" w:color="auto"/>
        <w:left w:val="none" w:sz="0" w:space="0" w:color="auto"/>
        <w:bottom w:val="none" w:sz="0" w:space="0" w:color="auto"/>
        <w:right w:val="none" w:sz="0" w:space="0" w:color="auto"/>
      </w:divBdr>
    </w:div>
    <w:div w:id="1886092796">
      <w:bodyDiv w:val="1"/>
      <w:marLeft w:val="0"/>
      <w:marRight w:val="0"/>
      <w:marTop w:val="0"/>
      <w:marBottom w:val="0"/>
      <w:divBdr>
        <w:top w:val="none" w:sz="0" w:space="0" w:color="auto"/>
        <w:left w:val="none" w:sz="0" w:space="0" w:color="auto"/>
        <w:bottom w:val="none" w:sz="0" w:space="0" w:color="auto"/>
        <w:right w:val="none" w:sz="0" w:space="0" w:color="auto"/>
      </w:divBdr>
    </w:div>
    <w:div w:id="1993634136">
      <w:bodyDiv w:val="1"/>
      <w:marLeft w:val="0"/>
      <w:marRight w:val="0"/>
      <w:marTop w:val="0"/>
      <w:marBottom w:val="0"/>
      <w:divBdr>
        <w:top w:val="none" w:sz="0" w:space="0" w:color="auto"/>
        <w:left w:val="none" w:sz="0" w:space="0" w:color="auto"/>
        <w:bottom w:val="none" w:sz="0" w:space="0" w:color="auto"/>
        <w:right w:val="none" w:sz="0" w:space="0" w:color="auto"/>
      </w:divBdr>
    </w:div>
    <w:div w:id="2015760060">
      <w:bodyDiv w:val="1"/>
      <w:marLeft w:val="0"/>
      <w:marRight w:val="0"/>
      <w:marTop w:val="0"/>
      <w:marBottom w:val="0"/>
      <w:divBdr>
        <w:top w:val="none" w:sz="0" w:space="0" w:color="auto"/>
        <w:left w:val="none" w:sz="0" w:space="0" w:color="auto"/>
        <w:bottom w:val="none" w:sz="0" w:space="0" w:color="auto"/>
        <w:right w:val="none" w:sz="0" w:space="0" w:color="auto"/>
      </w:divBdr>
    </w:div>
    <w:div w:id="210583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Jessica Sanderson</cp:lastModifiedBy>
  <cp:revision>3</cp:revision>
  <cp:lastPrinted>2023-08-16T08:50:00Z</cp:lastPrinted>
  <dcterms:created xsi:type="dcterms:W3CDTF">2024-02-27T08:00:00Z</dcterms:created>
  <dcterms:modified xsi:type="dcterms:W3CDTF">2024-02-27T08:20:00Z</dcterms:modified>
</cp:coreProperties>
</file>