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Pr="00C80E2B" w:rsidRDefault="00131996" w:rsidP="00645B58">
      <w:pPr>
        <w:pStyle w:val="Heading"/>
        <w:jc w:val="center"/>
      </w:pPr>
      <w:r w:rsidRPr="00C80E2B">
        <w:t>Qualification Specification</w:t>
      </w:r>
    </w:p>
    <w:p w14:paraId="53EC9B56" w14:textId="77777777" w:rsidR="0036519F" w:rsidRPr="00A00722" w:rsidRDefault="0036519F" w:rsidP="0036519F">
      <w:pPr>
        <w:pStyle w:val="Heading"/>
        <w:jc w:val="center"/>
      </w:pPr>
      <w:r w:rsidRPr="00A00722">
        <w:t xml:space="preserve">SVQ in </w:t>
      </w:r>
      <w:r>
        <w:t>Quality Operations</w:t>
      </w:r>
      <w:r w:rsidRPr="00252D5F">
        <w:t xml:space="preserve"> in the Science Industries at SCQF level </w:t>
      </w:r>
      <w:r>
        <w:t>6</w:t>
      </w:r>
    </w:p>
    <w:p w14:paraId="7CF0FF36" w14:textId="450B28C9" w:rsidR="00F83B3C" w:rsidRPr="00C80E2B" w:rsidRDefault="0027141B" w:rsidP="00C80E2B">
      <w:pPr>
        <w:pStyle w:val="Heading"/>
      </w:pPr>
      <w:r w:rsidRPr="00C80E2B">
        <w:t>Qualification Number</w:t>
      </w:r>
      <w:r w:rsidR="00C438DF" w:rsidRPr="00C80E2B">
        <w:t xml:space="preserve">: </w:t>
      </w:r>
      <w:r w:rsidR="00987034">
        <w:t>GV4</w:t>
      </w:r>
      <w:r w:rsidR="0036519F">
        <w:t>J 46</w:t>
      </w:r>
    </w:p>
    <w:p w14:paraId="4D89E150" w14:textId="64932B4C" w:rsidR="00530347" w:rsidRPr="00645B58" w:rsidRDefault="00C438DF" w:rsidP="00C80E2B">
      <w:pPr>
        <w:pStyle w:val="Heading"/>
        <w:rPr>
          <w:sz w:val="22"/>
        </w:rPr>
      </w:pPr>
      <w:r w:rsidRPr="00645B58">
        <w:rPr>
          <w:sz w:val="22"/>
        </w:rPr>
        <w:t xml:space="preserve">Who is this qualification for? </w:t>
      </w:r>
    </w:p>
    <w:p w14:paraId="12018BB0" w14:textId="33B1A952" w:rsidR="0036519F" w:rsidRDefault="00BB5373" w:rsidP="0036519F">
      <w:pPr>
        <w:spacing w:after="0"/>
        <w:ind w:left="10" w:right="-397"/>
        <w:rPr>
          <w:rFonts w:asciiTheme="minorHAnsi" w:hAnsiTheme="minorHAnsi" w:cstheme="minorHAnsi"/>
          <w:color w:val="auto"/>
        </w:rPr>
      </w:pPr>
      <w:bookmarkStart w:id="0" w:name="_Hlk152160129"/>
      <w:r w:rsidRPr="00C80E2B">
        <w:rPr>
          <w:rFonts w:asciiTheme="minorHAnsi" w:hAnsiTheme="minorHAnsi" w:cstheme="minorHAnsi"/>
        </w:rPr>
        <w:t>The Level</w:t>
      </w:r>
      <w:r w:rsidR="001D3977" w:rsidRPr="00C80E2B">
        <w:rPr>
          <w:rFonts w:asciiTheme="minorHAnsi" w:hAnsiTheme="minorHAnsi" w:cstheme="minorHAnsi"/>
        </w:rPr>
        <w:t xml:space="preserve"> </w:t>
      </w:r>
      <w:r w:rsidR="0036519F">
        <w:rPr>
          <w:rFonts w:asciiTheme="minorHAnsi" w:hAnsiTheme="minorHAnsi" w:cstheme="minorHAnsi"/>
        </w:rPr>
        <w:t>6</w:t>
      </w:r>
      <w:r w:rsidR="001D3977" w:rsidRPr="00C80E2B">
        <w:rPr>
          <w:rFonts w:asciiTheme="minorHAnsi" w:hAnsiTheme="minorHAnsi" w:cstheme="minorHAnsi"/>
        </w:rPr>
        <w:t xml:space="preserve"> </w:t>
      </w:r>
      <w:r w:rsidR="0036519F" w:rsidRPr="0036519F">
        <w:rPr>
          <w:rFonts w:asciiTheme="minorHAnsi" w:hAnsiTheme="minorHAnsi" w:cstheme="minorHAnsi"/>
          <w:color w:val="auto"/>
          <w:szCs w:val="20"/>
        </w:rPr>
        <w:t>SVQ in Quality Operations in the Science Industries</w:t>
      </w:r>
      <w:r w:rsidR="0036519F" w:rsidRPr="00C80E2B">
        <w:rPr>
          <w:rFonts w:asciiTheme="minorHAnsi" w:hAnsiTheme="minorHAnsi" w:cstheme="minorHAnsi"/>
        </w:rPr>
        <w:t xml:space="preserve"> </w:t>
      </w:r>
      <w:r w:rsidR="001D3977" w:rsidRPr="00C80E2B">
        <w:rPr>
          <w:rFonts w:asciiTheme="minorHAnsi" w:hAnsiTheme="minorHAnsi" w:cstheme="minorHAnsi"/>
        </w:rPr>
        <w:t xml:space="preserve">will develop knowledge and skills in </w:t>
      </w:r>
      <w:r w:rsidR="0036519F" w:rsidRPr="0036519F">
        <w:rPr>
          <w:rFonts w:asciiTheme="minorHAnsi" w:hAnsiTheme="minorHAnsi" w:cstheme="minorHAnsi"/>
          <w:color w:val="auto"/>
        </w:rPr>
        <w:t>science and associated technical working environments.</w:t>
      </w:r>
    </w:p>
    <w:p w14:paraId="02BBDCB2" w14:textId="77777777" w:rsidR="0036519F" w:rsidRDefault="0036519F" w:rsidP="0036519F">
      <w:pPr>
        <w:spacing w:after="0"/>
        <w:ind w:left="10" w:right="-397"/>
        <w:rPr>
          <w:rFonts w:asciiTheme="minorHAnsi" w:hAnsiTheme="minorHAnsi" w:cstheme="minorHAnsi"/>
          <w:color w:val="auto"/>
        </w:rPr>
      </w:pPr>
    </w:p>
    <w:p w14:paraId="01A518A0" w14:textId="77777777" w:rsidR="0036519F" w:rsidRPr="0036519F" w:rsidRDefault="0036519F" w:rsidP="0036519F">
      <w:pPr>
        <w:spacing w:after="0" w:line="247" w:lineRule="auto"/>
        <w:ind w:left="11" w:hanging="11"/>
        <w:rPr>
          <w:rFonts w:asciiTheme="minorHAnsi" w:hAnsiTheme="minorHAnsi" w:cstheme="minorHAnsi"/>
          <w:color w:val="auto"/>
        </w:rPr>
      </w:pPr>
      <w:r w:rsidRPr="0036519F">
        <w:rPr>
          <w:rFonts w:asciiTheme="minorHAnsi" w:hAnsiTheme="minorHAnsi" w:cstheme="minorHAnsi"/>
          <w:color w:val="auto"/>
        </w:rPr>
        <w:t xml:space="preserve">Working in roles associated with scientific and technical related occupations, this could include activities related to a wide range of specific activities, the optional units have suitable units and combination of units to make them as widely accessible as possible. </w:t>
      </w:r>
    </w:p>
    <w:p w14:paraId="49A6089C" w14:textId="77777777" w:rsidR="0036519F" w:rsidRDefault="0036519F" w:rsidP="0036519F">
      <w:pPr>
        <w:spacing w:after="0"/>
        <w:ind w:left="10" w:right="-397"/>
        <w:rPr>
          <w:rFonts w:asciiTheme="minorHAnsi" w:hAnsiTheme="minorHAnsi" w:cstheme="minorHAnsi"/>
          <w:color w:val="auto"/>
        </w:rPr>
      </w:pPr>
    </w:p>
    <w:p w14:paraId="2063BBE8" w14:textId="2D2C80D5" w:rsidR="0036519F" w:rsidRPr="0036519F" w:rsidRDefault="0036519F" w:rsidP="0036519F">
      <w:pPr>
        <w:spacing w:after="0"/>
        <w:ind w:left="10" w:right="-397"/>
        <w:rPr>
          <w:rFonts w:asciiTheme="minorHAnsi" w:hAnsiTheme="minorHAnsi" w:cstheme="minorHAnsi"/>
          <w:color w:val="auto"/>
        </w:rPr>
      </w:pPr>
      <w:r w:rsidRPr="0036519F">
        <w:rPr>
          <w:rFonts w:asciiTheme="minorHAnsi" w:hAnsiTheme="minorHAnsi" w:cstheme="minorHAnsi"/>
          <w:color w:val="auto"/>
        </w:rPr>
        <w:t xml:space="preserve">The standard covers the most important aspects of the job. This qualification is at SCQF level 6 and should be taken by those who are fully trained to deal with routine assignments. Candidates should require minimum supervision in undertaking the job.   </w:t>
      </w:r>
    </w:p>
    <w:p w14:paraId="1ECD43E1" w14:textId="77777777" w:rsidR="0036519F" w:rsidRPr="0036519F" w:rsidRDefault="0036519F" w:rsidP="0036519F">
      <w:pPr>
        <w:spacing w:after="0"/>
        <w:ind w:left="10" w:right="-397"/>
        <w:rPr>
          <w:rFonts w:asciiTheme="minorHAnsi" w:hAnsiTheme="minorHAnsi" w:cstheme="minorHAnsi"/>
          <w:color w:val="auto"/>
        </w:rPr>
      </w:pPr>
    </w:p>
    <w:p w14:paraId="07097287" w14:textId="2967E45C" w:rsidR="006515EA" w:rsidRPr="00C80E2B" w:rsidRDefault="000F1642" w:rsidP="0036519F">
      <w:pPr>
        <w:ind w:left="10"/>
        <w:rPr>
          <w:rFonts w:asciiTheme="minorHAnsi" w:hAnsiTheme="minorHAnsi" w:cstheme="minorHAnsi"/>
        </w:rPr>
      </w:pPr>
      <w:r w:rsidRPr="00C80E2B">
        <w:rPr>
          <w:rFonts w:asciiTheme="minorHAnsi" w:hAnsiTheme="minorHAnsi" w:cstheme="minorHAnsi"/>
        </w:rPr>
        <w:t xml:space="preserve"> The qualification is at Level </w:t>
      </w:r>
      <w:r w:rsidR="0036519F">
        <w:rPr>
          <w:rFonts w:asciiTheme="minorHAnsi" w:hAnsiTheme="minorHAnsi" w:cstheme="minorHAnsi"/>
        </w:rPr>
        <w:t>6</w:t>
      </w:r>
      <w:r w:rsidRPr="00C80E2B">
        <w:rPr>
          <w:rFonts w:asciiTheme="minorHAnsi" w:hAnsiTheme="minorHAnsi" w:cstheme="minorHAnsi"/>
        </w:rPr>
        <w:t>, although some units may be at different levels</w:t>
      </w:r>
      <w:r w:rsidR="001D3977" w:rsidRPr="00C80E2B">
        <w:rPr>
          <w:rFonts w:asciiTheme="minorHAnsi" w:hAnsiTheme="minorHAnsi" w:cstheme="minorHAnsi"/>
        </w:rPr>
        <w:t>.</w:t>
      </w:r>
    </w:p>
    <w:p w14:paraId="50C48393" w14:textId="77777777" w:rsidR="00A01E94" w:rsidRPr="00C80E2B" w:rsidRDefault="00A01E94" w:rsidP="00C80E2B">
      <w:pPr>
        <w:pStyle w:val="NoSpacing"/>
        <w:rPr>
          <w:rFonts w:asciiTheme="minorHAnsi" w:hAnsiTheme="minorHAnsi" w:cstheme="minorHAnsi"/>
        </w:rPr>
      </w:pPr>
    </w:p>
    <w:p w14:paraId="10F85FD0" w14:textId="77777777" w:rsidR="006515EA" w:rsidRPr="00C80E2B" w:rsidRDefault="000F1642" w:rsidP="006A5A5A">
      <w:pPr>
        <w:pStyle w:val="NoSpacing"/>
        <w:ind w:left="10"/>
        <w:rPr>
          <w:rFonts w:asciiTheme="minorHAnsi" w:hAnsiTheme="minorHAnsi" w:cstheme="minorHAnsi"/>
        </w:rPr>
      </w:pPr>
      <w:r w:rsidRPr="00C80E2B">
        <w:rPr>
          <w:rFonts w:asciiTheme="minorHAnsi" w:hAnsiTheme="minorHAnsi" w:cstheme="minorHAnsi"/>
        </w:rPr>
        <w:t xml:space="preserve">The qualification has been developed in a way to allow employees from companies of all sizes and specialisms equal opportunity to complete. </w:t>
      </w:r>
    </w:p>
    <w:bookmarkEnd w:id="0"/>
    <w:p w14:paraId="51FBD1E9" w14:textId="77777777" w:rsidR="00BB5373" w:rsidRPr="00A01E94" w:rsidRDefault="00BB5373" w:rsidP="00BB5373"/>
    <w:p w14:paraId="2CC288D4" w14:textId="208F54AA" w:rsidR="00530347" w:rsidRPr="00C80E2B" w:rsidRDefault="00C438DF" w:rsidP="00C80E2B">
      <w:pPr>
        <w:pStyle w:val="Heading1"/>
      </w:pPr>
      <w:r w:rsidRPr="00C80E2B">
        <w:t xml:space="preserve">Entry requirements </w:t>
      </w:r>
    </w:p>
    <w:p w14:paraId="3E07E5A9" w14:textId="5937DAF1" w:rsidR="00530347" w:rsidRPr="00C80E2B" w:rsidRDefault="000F1642" w:rsidP="00326F15">
      <w:pPr>
        <w:pStyle w:val="mainbody"/>
        <w:rPr>
          <w:sz w:val="20"/>
        </w:rPr>
      </w:pPr>
      <w:r w:rsidRPr="006A5A5A">
        <w:rPr>
          <w:sz w:val="20"/>
        </w:rPr>
        <w:t>T</w:t>
      </w:r>
      <w:r w:rsidR="00C438DF" w:rsidRPr="006A5A5A">
        <w:rPr>
          <w:sz w:val="20"/>
        </w:rPr>
        <w:t>here are no formal entry requirements for learners undertaking this qualification</w:t>
      </w:r>
      <w:r w:rsidRPr="006A5A5A">
        <w:rPr>
          <w:sz w:val="20"/>
        </w:rPr>
        <w:t>, however individuals must be carrying out a role that will enable them to show they have the required competence and knowledge to meet the qualification aims</w:t>
      </w:r>
      <w:r w:rsidR="00F83B3C" w:rsidRPr="006A5A5A">
        <w:rPr>
          <w:sz w:val="20"/>
        </w:rPr>
        <w:t>.</w:t>
      </w:r>
      <w:r w:rsidR="00EB6591" w:rsidRPr="00C80E2B">
        <w:rPr>
          <w:sz w:val="20"/>
        </w:rPr>
        <w:t xml:space="preserve"> </w:t>
      </w:r>
    </w:p>
    <w:p w14:paraId="6BCB2640" w14:textId="77777777" w:rsidR="00C80E2B" w:rsidRDefault="00C80E2B" w:rsidP="00C80E2B">
      <w:pPr>
        <w:pStyle w:val="NoSpacing"/>
      </w:pPr>
    </w:p>
    <w:p w14:paraId="5CA5F410" w14:textId="2D067534" w:rsidR="009C46BB" w:rsidRPr="00C80E2B" w:rsidRDefault="009C46BB" w:rsidP="00C80E2B">
      <w:pPr>
        <w:pStyle w:val="Heading1"/>
      </w:pPr>
      <w:r w:rsidRPr="00C80E2B">
        <w:t xml:space="preserve">Qualification support </w:t>
      </w:r>
    </w:p>
    <w:p w14:paraId="6590F119" w14:textId="7A636915" w:rsidR="009C46BB" w:rsidRPr="00C80E2B" w:rsidRDefault="009C46BB" w:rsidP="00326F15">
      <w:pPr>
        <w:pStyle w:val="mainbody"/>
        <w:rPr>
          <w:sz w:val="20"/>
        </w:rPr>
      </w:pPr>
      <w:r w:rsidRPr="00C80E2B">
        <w:rPr>
          <w:sz w:val="20"/>
        </w:rPr>
        <w:t xml:space="preserve">This qualification has been designed and developed by </w:t>
      </w:r>
      <w:r w:rsidR="000F1168" w:rsidRPr="00C80E2B">
        <w:rPr>
          <w:sz w:val="20"/>
        </w:rPr>
        <w:t xml:space="preserve">GQA Qualifications with industry support. </w:t>
      </w:r>
    </w:p>
    <w:p w14:paraId="50E1DA16" w14:textId="77777777" w:rsidR="00F00FA2" w:rsidRDefault="00F00FA2" w:rsidP="00645B58">
      <w:pPr>
        <w:pStyle w:val="NoSpacing"/>
      </w:pPr>
    </w:p>
    <w:p w14:paraId="07BD6043" w14:textId="5AB1EC8B" w:rsidR="00530347" w:rsidRPr="00C80E2B" w:rsidRDefault="00C438DF" w:rsidP="00C80E2B">
      <w:pPr>
        <w:pStyle w:val="Heading1"/>
      </w:pPr>
      <w:r w:rsidRPr="00C80E2B">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Pr="00C80E2B" w:rsidRDefault="00C438DF" w:rsidP="00326F15">
            <w:pPr>
              <w:pStyle w:val="mainbody"/>
              <w:rPr>
                <w:sz w:val="20"/>
              </w:rPr>
            </w:pPr>
            <w:r w:rsidRPr="00C80E2B">
              <w:rPr>
                <w:sz w:val="20"/>
              </w:rPr>
              <w:t xml:space="preserve">Countries offered in:   </w:t>
            </w:r>
          </w:p>
        </w:tc>
        <w:tc>
          <w:tcPr>
            <w:tcW w:w="4841" w:type="dxa"/>
            <w:vAlign w:val="center"/>
          </w:tcPr>
          <w:p w14:paraId="582F5406" w14:textId="7CE33D53" w:rsidR="00530347" w:rsidRPr="006A5A5A" w:rsidRDefault="00F956CB" w:rsidP="00326F15">
            <w:pPr>
              <w:pStyle w:val="mainbody"/>
              <w:rPr>
                <w:sz w:val="20"/>
              </w:rPr>
            </w:pPr>
            <w:r>
              <w:rPr>
                <w:sz w:val="20"/>
              </w:rPr>
              <w:t>Scotland</w:t>
            </w:r>
          </w:p>
        </w:tc>
      </w:tr>
      <w:tr w:rsidR="00530347" w14:paraId="754133B7" w14:textId="77777777" w:rsidTr="00B06065">
        <w:trPr>
          <w:trHeight w:val="397"/>
        </w:trPr>
        <w:tc>
          <w:tcPr>
            <w:tcW w:w="4841" w:type="dxa"/>
            <w:vAlign w:val="center"/>
          </w:tcPr>
          <w:p w14:paraId="570C1F35" w14:textId="77777777" w:rsidR="00530347" w:rsidRPr="00C80E2B" w:rsidRDefault="00FE639E" w:rsidP="00326F15">
            <w:pPr>
              <w:pStyle w:val="mainbody"/>
              <w:rPr>
                <w:sz w:val="20"/>
              </w:rPr>
            </w:pPr>
            <w:r w:rsidRPr="00C80E2B">
              <w:rPr>
                <w:sz w:val="20"/>
              </w:rPr>
              <w:t>Qualification type:</w:t>
            </w:r>
          </w:p>
        </w:tc>
        <w:tc>
          <w:tcPr>
            <w:tcW w:w="4841" w:type="dxa"/>
            <w:vAlign w:val="center"/>
          </w:tcPr>
          <w:p w14:paraId="07161571" w14:textId="4EFB6D87" w:rsidR="00530347" w:rsidRPr="006A5A5A" w:rsidRDefault="006515EA" w:rsidP="00326F15">
            <w:pPr>
              <w:pStyle w:val="mainbody"/>
              <w:rPr>
                <w:sz w:val="20"/>
              </w:rPr>
            </w:pPr>
            <w:r w:rsidRPr="006A5A5A">
              <w:rPr>
                <w:sz w:val="20"/>
              </w:rPr>
              <w:t>Occupational</w:t>
            </w:r>
            <w:r w:rsidR="00EB6591" w:rsidRPr="006A5A5A">
              <w:rPr>
                <w:sz w:val="20"/>
              </w:rPr>
              <w:t xml:space="preserve"> q</w:t>
            </w:r>
            <w:r w:rsidR="00A55E01" w:rsidRPr="006A5A5A">
              <w:rPr>
                <w:sz w:val="20"/>
              </w:rPr>
              <w:t>ualification</w:t>
            </w:r>
          </w:p>
        </w:tc>
      </w:tr>
      <w:tr w:rsidR="00530347" w14:paraId="6196CA52" w14:textId="77777777" w:rsidTr="00B06065">
        <w:trPr>
          <w:trHeight w:val="397"/>
        </w:trPr>
        <w:tc>
          <w:tcPr>
            <w:tcW w:w="4841" w:type="dxa"/>
            <w:vAlign w:val="center"/>
          </w:tcPr>
          <w:p w14:paraId="6169DF00" w14:textId="77777777" w:rsidR="00530347" w:rsidRPr="00C80E2B" w:rsidRDefault="00C438DF" w:rsidP="00326F15">
            <w:pPr>
              <w:pStyle w:val="mainbody"/>
              <w:rPr>
                <w:sz w:val="20"/>
              </w:rPr>
            </w:pPr>
            <w:r w:rsidRPr="00C80E2B">
              <w:rPr>
                <w:sz w:val="20"/>
              </w:rPr>
              <w:t xml:space="preserve">Subject/sector areas </w:t>
            </w:r>
          </w:p>
        </w:tc>
        <w:tc>
          <w:tcPr>
            <w:tcW w:w="4841" w:type="dxa"/>
            <w:vAlign w:val="center"/>
          </w:tcPr>
          <w:p w14:paraId="359CF604" w14:textId="2D857E24" w:rsidR="00530347" w:rsidRPr="006A5A5A" w:rsidRDefault="00307ABA" w:rsidP="00326F15">
            <w:pPr>
              <w:pStyle w:val="mainbody"/>
              <w:rPr>
                <w:sz w:val="20"/>
              </w:rPr>
            </w:pPr>
            <w:r>
              <w:rPr>
                <w:sz w:val="20"/>
              </w:rPr>
              <w:t>Laboratory Ops and Science</w:t>
            </w:r>
          </w:p>
        </w:tc>
      </w:tr>
      <w:tr w:rsidR="00530347" w14:paraId="63B9C735" w14:textId="77777777" w:rsidTr="00B06065">
        <w:trPr>
          <w:trHeight w:val="397"/>
        </w:trPr>
        <w:tc>
          <w:tcPr>
            <w:tcW w:w="4841" w:type="dxa"/>
          </w:tcPr>
          <w:p w14:paraId="70DCA7F1" w14:textId="77777777" w:rsidR="00530347" w:rsidRPr="00C80E2B" w:rsidRDefault="00C438DF" w:rsidP="00326F15">
            <w:pPr>
              <w:pStyle w:val="mainbody"/>
              <w:rPr>
                <w:sz w:val="20"/>
              </w:rPr>
            </w:pPr>
            <w:r w:rsidRPr="00C80E2B">
              <w:rPr>
                <w:sz w:val="20"/>
              </w:rPr>
              <w:t xml:space="preserve">Qualification operational start date: </w:t>
            </w:r>
          </w:p>
        </w:tc>
        <w:tc>
          <w:tcPr>
            <w:tcW w:w="4841" w:type="dxa"/>
            <w:vAlign w:val="center"/>
          </w:tcPr>
          <w:p w14:paraId="5C23C7ED" w14:textId="079EFF5D" w:rsidR="00530347" w:rsidRPr="006A5A5A" w:rsidRDefault="00CA63EA" w:rsidP="00961063">
            <w:pPr>
              <w:pStyle w:val="mainbody"/>
              <w:rPr>
                <w:sz w:val="20"/>
              </w:rPr>
            </w:pPr>
            <w:r w:rsidRPr="006A5A5A">
              <w:rPr>
                <w:sz w:val="20"/>
              </w:rPr>
              <w:t>01/01/2024</w:t>
            </w:r>
          </w:p>
        </w:tc>
      </w:tr>
      <w:tr w:rsidR="00530347" w14:paraId="03A6C616" w14:textId="77777777" w:rsidTr="00B06065">
        <w:trPr>
          <w:trHeight w:val="397"/>
        </w:trPr>
        <w:tc>
          <w:tcPr>
            <w:tcW w:w="4841" w:type="dxa"/>
            <w:vAlign w:val="center"/>
          </w:tcPr>
          <w:p w14:paraId="49B3ABB6" w14:textId="77777777" w:rsidR="00530347" w:rsidRPr="00C80E2B" w:rsidRDefault="00C438DF" w:rsidP="00326F15">
            <w:pPr>
              <w:pStyle w:val="mainbody"/>
              <w:rPr>
                <w:sz w:val="20"/>
              </w:rPr>
            </w:pPr>
            <w:r w:rsidRPr="00C80E2B">
              <w:rPr>
                <w:sz w:val="20"/>
              </w:rPr>
              <w:t xml:space="preserve">Applicable age ranges (years): </w:t>
            </w:r>
          </w:p>
        </w:tc>
        <w:tc>
          <w:tcPr>
            <w:tcW w:w="4841" w:type="dxa"/>
            <w:vAlign w:val="center"/>
          </w:tcPr>
          <w:p w14:paraId="0CCF3166" w14:textId="7C1183D2" w:rsidR="00530347" w:rsidRPr="006A5A5A" w:rsidRDefault="00577163" w:rsidP="00326F15">
            <w:pPr>
              <w:pStyle w:val="mainbody"/>
              <w:rPr>
                <w:sz w:val="20"/>
              </w:rPr>
            </w:pPr>
            <w:r w:rsidRPr="006A5A5A">
              <w:rPr>
                <w:sz w:val="20"/>
              </w:rPr>
              <w:t>18+</w:t>
            </w:r>
          </w:p>
        </w:tc>
      </w:tr>
    </w:tbl>
    <w:p w14:paraId="2A2E8C3F" w14:textId="77777777" w:rsidR="00A01E94" w:rsidRDefault="00A01E94" w:rsidP="00C80E2B">
      <w:pPr>
        <w:pStyle w:val="Heading1"/>
      </w:pPr>
    </w:p>
    <w:p w14:paraId="2DFE9B1A" w14:textId="77AC5B11" w:rsidR="00530347" w:rsidRPr="00D80D05" w:rsidRDefault="00C438DF" w:rsidP="00C80E2B">
      <w:pPr>
        <w:pStyle w:val="Heading1"/>
      </w:pPr>
      <w:r w:rsidRPr="00D80D05">
        <w:t xml:space="preserve">Further information </w:t>
      </w:r>
    </w:p>
    <w:p w14:paraId="2390C9B7" w14:textId="681BCF27" w:rsidR="00530347" w:rsidRPr="00C80E2B" w:rsidRDefault="00C438DF" w:rsidP="00326F15">
      <w:pPr>
        <w:pStyle w:val="mainbody"/>
        <w:rPr>
          <w:sz w:val="20"/>
        </w:rPr>
      </w:pPr>
      <w:r w:rsidRPr="00C80E2B">
        <w:rPr>
          <w:sz w:val="20"/>
        </w:rPr>
        <w:t xml:space="preserve">Further information about this qualification can be obtained from: </w:t>
      </w:r>
      <w:hyperlink r:id="rId7" w:history="1">
        <w:r w:rsidR="008E7AAF" w:rsidRPr="00C80E2B">
          <w:rPr>
            <w:rStyle w:val="Hyperlink"/>
            <w:sz w:val="20"/>
          </w:rPr>
          <w:t>www.gqaqualifications.com/qualifications</w:t>
        </w:r>
      </w:hyperlink>
      <w:r w:rsidR="009E2FD5" w:rsidRPr="00C80E2B">
        <w:rPr>
          <w:sz w:val="20"/>
        </w:rPr>
        <w:t xml:space="preserve"> </w:t>
      </w:r>
    </w:p>
    <w:p w14:paraId="0497497D" w14:textId="77777777" w:rsidR="00530347" w:rsidRPr="00C80E2B" w:rsidRDefault="00C438DF" w:rsidP="00326F15">
      <w:pPr>
        <w:pStyle w:val="mainbody"/>
        <w:rPr>
          <w:sz w:val="20"/>
        </w:rPr>
      </w:pPr>
      <w:r w:rsidRPr="00C80E2B">
        <w:rPr>
          <w:sz w:val="20"/>
        </w:rPr>
        <w:t xml:space="preserve">You can also contact </w:t>
      </w:r>
      <w:r w:rsidR="009E2FD5" w:rsidRPr="00C80E2B">
        <w:rPr>
          <w:sz w:val="20"/>
        </w:rPr>
        <w:t>GQA Qualifications di</w:t>
      </w:r>
      <w:r w:rsidRPr="00C80E2B">
        <w:rPr>
          <w:sz w:val="20"/>
        </w:rPr>
        <w:t xml:space="preserve">rectly at: </w:t>
      </w:r>
    </w:p>
    <w:p w14:paraId="3850968A" w14:textId="7D513F4D" w:rsidR="008E7AAF" w:rsidRPr="00C80E2B" w:rsidRDefault="009E2FD5" w:rsidP="00326F15">
      <w:pPr>
        <w:pStyle w:val="mainbody"/>
        <w:rPr>
          <w:rFonts w:eastAsia="Calibri"/>
          <w:sz w:val="20"/>
        </w:rPr>
      </w:pPr>
      <w:r w:rsidRPr="00C80E2B">
        <w:rPr>
          <w:rFonts w:eastAsia="Calibri"/>
          <w:sz w:val="20"/>
        </w:rPr>
        <w:t>GQA Qualifications Ltd</w:t>
      </w:r>
      <w:r w:rsidR="008E7AAF" w:rsidRPr="00C80E2B">
        <w:rPr>
          <w:rFonts w:eastAsia="Calibri"/>
          <w:sz w:val="20"/>
        </w:rPr>
        <w:t xml:space="preserve">, </w:t>
      </w:r>
      <w:r w:rsidRPr="00C80E2B">
        <w:rPr>
          <w:rFonts w:eastAsia="Calibri"/>
          <w:sz w:val="20"/>
        </w:rPr>
        <w:t xml:space="preserve">Unit 1, </w:t>
      </w:r>
      <w:r w:rsidR="00270383" w:rsidRPr="00C80E2B">
        <w:rPr>
          <w:rFonts w:eastAsia="Calibri"/>
          <w:sz w:val="20"/>
        </w:rPr>
        <w:t>12 O’clock Court</w:t>
      </w:r>
      <w:r w:rsidRPr="00C80E2B">
        <w:rPr>
          <w:rFonts w:eastAsia="Calibri"/>
          <w:sz w:val="20"/>
        </w:rPr>
        <w:t xml:space="preserve">, Sheffield S4 7WW. </w:t>
      </w:r>
    </w:p>
    <w:p w14:paraId="61AB17EF" w14:textId="3F0B8741" w:rsidR="00530347" w:rsidRPr="00C80E2B" w:rsidRDefault="009E2FD5" w:rsidP="00326F15">
      <w:pPr>
        <w:pStyle w:val="mainbody"/>
        <w:rPr>
          <w:sz w:val="20"/>
        </w:rPr>
      </w:pPr>
      <w:r w:rsidRPr="00C80E2B">
        <w:rPr>
          <w:rFonts w:eastAsia="Calibri"/>
          <w:sz w:val="20"/>
        </w:rPr>
        <w:t>Tel 01142 720033, email to info@gqaqualifications.com</w:t>
      </w:r>
    </w:p>
    <w:p w14:paraId="70203390" w14:textId="77777777" w:rsidR="00645B58" w:rsidRDefault="00645B58" w:rsidP="00C80E2B">
      <w:pPr>
        <w:pStyle w:val="Heading1"/>
      </w:pPr>
    </w:p>
    <w:p w14:paraId="7BC21745" w14:textId="22BF5EE0" w:rsidR="00530347" w:rsidRPr="00D80D05" w:rsidRDefault="00C438DF" w:rsidP="00C80E2B">
      <w:pPr>
        <w:pStyle w:val="Heading1"/>
      </w:pPr>
      <w:r w:rsidRPr="00D80D05">
        <w:lastRenderedPageBreak/>
        <w:t xml:space="preserve">Qualification achievement </w:t>
      </w:r>
    </w:p>
    <w:p w14:paraId="5E58EF87" w14:textId="3875F754" w:rsidR="0036706C" w:rsidRPr="00C80E2B" w:rsidRDefault="00EB6591" w:rsidP="00C80E2B">
      <w:pPr>
        <w:pStyle w:val="NoSpacing"/>
        <w:rPr>
          <w:rFonts w:asciiTheme="minorHAnsi" w:hAnsiTheme="minorHAnsi" w:cstheme="minorHAnsi"/>
        </w:rPr>
      </w:pPr>
      <w:r w:rsidRPr="00C80E2B">
        <w:rPr>
          <w:rFonts w:asciiTheme="minorHAnsi" w:hAnsiTheme="minorHAnsi" w:cstheme="minorHAnsi"/>
        </w:rPr>
        <w:t xml:space="preserve">It </w:t>
      </w:r>
      <w:r w:rsidR="001B4B75" w:rsidRPr="00C80E2B">
        <w:rPr>
          <w:rFonts w:asciiTheme="minorHAnsi" w:hAnsiTheme="minorHAnsi" w:cstheme="minorHAnsi"/>
        </w:rPr>
        <w:t xml:space="preserve">is not expected that all workers will complete </w:t>
      </w:r>
      <w:proofErr w:type="gramStart"/>
      <w:r w:rsidR="00983A3F" w:rsidRPr="00C80E2B">
        <w:rPr>
          <w:rFonts w:asciiTheme="minorHAnsi" w:hAnsiTheme="minorHAnsi" w:cstheme="minorHAnsi"/>
        </w:rPr>
        <w:t xml:space="preserve">exactly </w:t>
      </w:r>
      <w:r w:rsidR="001B4B75" w:rsidRPr="00C80E2B">
        <w:rPr>
          <w:rFonts w:asciiTheme="minorHAnsi" w:hAnsiTheme="minorHAnsi" w:cstheme="minorHAnsi"/>
        </w:rPr>
        <w:t>the same</w:t>
      </w:r>
      <w:proofErr w:type="gramEnd"/>
      <w:r w:rsidR="001B4B75" w:rsidRPr="00C80E2B">
        <w:rPr>
          <w:rFonts w:asciiTheme="minorHAnsi" w:hAnsiTheme="minorHAnsi" w:cstheme="minorHAnsi"/>
        </w:rPr>
        <w:t xml:space="preserve"> tasks, </w:t>
      </w:r>
      <w:r w:rsidRPr="00C80E2B">
        <w:rPr>
          <w:rFonts w:asciiTheme="minorHAnsi" w:hAnsiTheme="minorHAnsi" w:cstheme="minorHAnsi"/>
        </w:rPr>
        <w:t>so the q</w:t>
      </w:r>
      <w:r w:rsidR="00983A3F" w:rsidRPr="00C80E2B">
        <w:rPr>
          <w:rFonts w:asciiTheme="minorHAnsi" w:hAnsiTheme="minorHAnsi" w:cstheme="minorHAnsi"/>
        </w:rPr>
        <w:t xml:space="preserve">ualification </w:t>
      </w:r>
      <w:r w:rsidRPr="00C80E2B">
        <w:rPr>
          <w:rFonts w:asciiTheme="minorHAnsi" w:hAnsiTheme="minorHAnsi" w:cstheme="minorHAnsi"/>
        </w:rPr>
        <w:t xml:space="preserve">has been designed to allow flexibility and in turn, as wide an uptake as possible. </w:t>
      </w:r>
    </w:p>
    <w:p w14:paraId="75917386" w14:textId="77777777" w:rsidR="006D4F34" w:rsidRPr="00C80E2B" w:rsidRDefault="006D4F34" w:rsidP="00C80E2B">
      <w:pPr>
        <w:pStyle w:val="NoSpacing"/>
        <w:rPr>
          <w:rFonts w:asciiTheme="minorHAnsi" w:hAnsiTheme="minorHAnsi" w:cstheme="minorHAnsi"/>
        </w:rPr>
      </w:pPr>
    </w:p>
    <w:p w14:paraId="3D7E12F0" w14:textId="61FABAA0" w:rsidR="006515EA" w:rsidRPr="00C80E2B" w:rsidRDefault="00EB6591" w:rsidP="00C80E2B">
      <w:pPr>
        <w:pStyle w:val="NoSpacing"/>
        <w:rPr>
          <w:rFonts w:asciiTheme="minorHAnsi" w:hAnsiTheme="minorHAnsi" w:cstheme="minorHAnsi"/>
        </w:rPr>
      </w:pPr>
      <w:r w:rsidRPr="00C80E2B">
        <w:rPr>
          <w:rFonts w:asciiTheme="minorHAnsi" w:hAnsiTheme="minorHAnsi" w:cstheme="minorHAnsi"/>
        </w:rPr>
        <w:t xml:space="preserve">Individuals must complete </w:t>
      </w:r>
      <w:r w:rsidR="000F1642" w:rsidRPr="00C80E2B">
        <w:rPr>
          <w:rFonts w:asciiTheme="minorHAnsi" w:hAnsiTheme="minorHAnsi" w:cstheme="minorHAnsi"/>
        </w:rPr>
        <w:t xml:space="preserve">the </w:t>
      </w:r>
      <w:r w:rsidR="0036519F">
        <w:rPr>
          <w:rFonts w:asciiTheme="minorHAnsi" w:hAnsiTheme="minorHAnsi" w:cstheme="minorHAnsi"/>
        </w:rPr>
        <w:t>4</w:t>
      </w:r>
      <w:r w:rsidR="006515EA" w:rsidRPr="00C80E2B">
        <w:rPr>
          <w:rFonts w:asciiTheme="minorHAnsi" w:hAnsiTheme="minorHAnsi" w:cstheme="minorHAnsi"/>
        </w:rPr>
        <w:t xml:space="preserve"> </w:t>
      </w:r>
      <w:r w:rsidR="000F1642" w:rsidRPr="00C80E2B">
        <w:rPr>
          <w:rFonts w:asciiTheme="minorHAnsi" w:hAnsiTheme="minorHAnsi" w:cstheme="minorHAnsi"/>
        </w:rPr>
        <w:t xml:space="preserve">mandatory units </w:t>
      </w:r>
      <w:r w:rsidR="005F48DA" w:rsidRPr="00C80E2B">
        <w:rPr>
          <w:rFonts w:asciiTheme="minorHAnsi" w:hAnsiTheme="minorHAnsi" w:cstheme="minorHAnsi"/>
        </w:rPr>
        <w:t xml:space="preserve">and </w:t>
      </w:r>
      <w:r w:rsidR="0036519F">
        <w:rPr>
          <w:rFonts w:asciiTheme="minorHAnsi" w:hAnsiTheme="minorHAnsi" w:cstheme="minorHAnsi"/>
        </w:rPr>
        <w:t>a minimum of 4</w:t>
      </w:r>
      <w:r w:rsidR="006A5A5A">
        <w:rPr>
          <w:rFonts w:asciiTheme="minorHAnsi" w:hAnsiTheme="minorHAnsi" w:cstheme="minorHAnsi"/>
        </w:rPr>
        <w:t xml:space="preserve"> optional units. </w:t>
      </w:r>
    </w:p>
    <w:p w14:paraId="1F128571" w14:textId="77777777" w:rsidR="00FD0EFE" w:rsidRPr="00C80E2B" w:rsidRDefault="00FD0EFE" w:rsidP="00C80E2B">
      <w:pPr>
        <w:pStyle w:val="NoSpacing"/>
        <w:rPr>
          <w:rFonts w:asciiTheme="minorHAnsi" w:hAnsiTheme="minorHAnsi" w:cstheme="minorHAnsi"/>
        </w:rPr>
      </w:pPr>
    </w:p>
    <w:p w14:paraId="76EFCA48" w14:textId="77777777" w:rsidR="006A5A5A" w:rsidRDefault="008E7AAF" w:rsidP="00C80E2B">
      <w:pPr>
        <w:pStyle w:val="NoSpacing"/>
        <w:rPr>
          <w:rFonts w:asciiTheme="minorHAnsi" w:hAnsiTheme="minorHAnsi" w:cstheme="minorHAnsi"/>
        </w:rPr>
      </w:pPr>
      <w:r w:rsidRPr="00C80E2B">
        <w:rPr>
          <w:rFonts w:asciiTheme="minorHAnsi" w:hAnsiTheme="minorHAnsi" w:cstheme="minorHAnsi"/>
        </w:rPr>
        <w:t>The unit of assessment set</w:t>
      </w:r>
      <w:r w:rsidR="000F1168" w:rsidRPr="00C80E2B">
        <w:rPr>
          <w:rFonts w:asciiTheme="minorHAnsi" w:hAnsiTheme="minorHAnsi" w:cstheme="minorHAnsi"/>
        </w:rPr>
        <w:t>s</w:t>
      </w:r>
      <w:r w:rsidRPr="00C80E2B">
        <w:rPr>
          <w:rFonts w:asciiTheme="minorHAnsi" w:hAnsiTheme="minorHAnsi" w:cstheme="minorHAnsi"/>
        </w:rPr>
        <w:t xml:space="preserve"> out learning outcomes which describe what learners need to be able to do and understand. </w:t>
      </w:r>
    </w:p>
    <w:p w14:paraId="1BF46DA8" w14:textId="77777777" w:rsidR="006A5A5A" w:rsidRDefault="006A5A5A" w:rsidP="00C80E2B">
      <w:pPr>
        <w:pStyle w:val="NoSpacing"/>
        <w:rPr>
          <w:rFonts w:asciiTheme="minorHAnsi" w:hAnsiTheme="minorHAnsi" w:cstheme="minorHAnsi"/>
        </w:rPr>
      </w:pPr>
    </w:p>
    <w:p w14:paraId="3A71A46B" w14:textId="683031D4" w:rsidR="00F212B4" w:rsidRPr="00C80E2B" w:rsidRDefault="008E7AAF" w:rsidP="00C80E2B">
      <w:pPr>
        <w:pStyle w:val="NoSpacing"/>
        <w:rPr>
          <w:rFonts w:asciiTheme="minorHAnsi" w:hAnsiTheme="minorHAnsi" w:cstheme="minorHAnsi"/>
        </w:rPr>
      </w:pPr>
      <w:r w:rsidRPr="00C80E2B">
        <w:rPr>
          <w:rFonts w:asciiTheme="minorHAnsi" w:hAnsiTheme="minorHAnsi" w:cstheme="minorHAnsi"/>
        </w:rPr>
        <w:t>The learning outcomes are defined by assessment criteria which are used to assess competence, expressed as skills achieved and learned knowledge and understanding, to achieve the units.</w:t>
      </w:r>
      <w:r w:rsidR="009554CF" w:rsidRPr="00C80E2B">
        <w:rPr>
          <w:rFonts w:asciiTheme="minorHAnsi" w:hAnsiTheme="minorHAnsi" w:cstheme="minorHAnsi"/>
        </w:rPr>
        <w:t xml:space="preserve"> </w:t>
      </w:r>
      <w:r w:rsidRPr="00C80E2B">
        <w:rPr>
          <w:rFonts w:asciiTheme="minorHAnsi" w:hAnsiTheme="minorHAnsi" w:cstheme="minorHAnsi"/>
        </w:rPr>
        <w:t>GQA Qualifications will issue a certificate complete with the learner’s name, the qualification and unit title and the credits achieved.</w:t>
      </w:r>
    </w:p>
    <w:p w14:paraId="6DA11053" w14:textId="77777777" w:rsidR="00C80E2B" w:rsidRPr="00C80E2B" w:rsidRDefault="00C80E2B" w:rsidP="00C80E2B">
      <w:pPr>
        <w:pStyle w:val="NoSpacing"/>
        <w:rPr>
          <w:rFonts w:asciiTheme="minorHAnsi" w:hAnsiTheme="minorHAnsi" w:cstheme="minorHAnsi"/>
        </w:rPr>
      </w:pPr>
    </w:p>
    <w:p w14:paraId="2D5B4E29" w14:textId="4AFD2C80" w:rsidR="009C46BB" w:rsidRPr="00C80E2B" w:rsidRDefault="009C46BB" w:rsidP="00C80E2B">
      <w:pPr>
        <w:pStyle w:val="Heading1"/>
      </w:pPr>
      <w:r w:rsidRPr="00C80E2B">
        <w:t>Qualification Structure</w:t>
      </w:r>
    </w:p>
    <w:tbl>
      <w:tblPr>
        <w:tblStyle w:val="TableGrid"/>
        <w:tblW w:w="10207"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5" w:type="dxa"/>
          <w:left w:w="27" w:type="dxa"/>
        </w:tblCellMar>
        <w:tblLook w:val="04A0" w:firstRow="1" w:lastRow="0" w:firstColumn="1" w:lastColumn="0" w:noHBand="0" w:noVBand="1"/>
      </w:tblPr>
      <w:tblGrid>
        <w:gridCol w:w="1702"/>
        <w:gridCol w:w="8505"/>
      </w:tblGrid>
      <w:tr w:rsidR="00093096" w:rsidRPr="00551E56" w14:paraId="0F155AE6" w14:textId="77777777" w:rsidTr="00F956CB">
        <w:trPr>
          <w:trHeight w:val="692"/>
        </w:trPr>
        <w:tc>
          <w:tcPr>
            <w:tcW w:w="1702" w:type="dxa"/>
            <w:shd w:val="clear" w:color="auto" w:fill="E2EFD9" w:themeFill="accent6" w:themeFillTint="33"/>
            <w:vAlign w:val="center"/>
          </w:tcPr>
          <w:p w14:paraId="518062AA" w14:textId="2BC8E3F7" w:rsidR="00093096" w:rsidRPr="00551E56" w:rsidRDefault="00093096" w:rsidP="00C80E2B">
            <w:pPr>
              <w:pStyle w:val="mainbody"/>
              <w:spacing w:line="240" w:lineRule="auto"/>
              <w:jc w:val="center"/>
              <w:rPr>
                <w:b/>
                <w:bCs/>
                <w:color w:val="000000" w:themeColor="text1"/>
              </w:rPr>
            </w:pPr>
            <w:r w:rsidRPr="00551E56">
              <w:rPr>
                <w:b/>
                <w:bCs/>
                <w:color w:val="000000" w:themeColor="text1"/>
              </w:rPr>
              <w:t>Qualification Title:</w:t>
            </w:r>
          </w:p>
        </w:tc>
        <w:tc>
          <w:tcPr>
            <w:tcW w:w="8505" w:type="dxa"/>
            <w:shd w:val="clear" w:color="auto" w:fill="auto"/>
            <w:vAlign w:val="center"/>
          </w:tcPr>
          <w:p w14:paraId="4555FE9B" w14:textId="5F89D9F6" w:rsidR="00093096" w:rsidRPr="00551E56" w:rsidRDefault="00F956CB" w:rsidP="00F956CB">
            <w:pPr>
              <w:spacing w:after="519" w:line="259" w:lineRule="auto"/>
              <w:rPr>
                <w:color w:val="000000" w:themeColor="text1"/>
              </w:rPr>
            </w:pPr>
            <w:r w:rsidRPr="00F956CB">
              <w:rPr>
                <w:rFonts w:asciiTheme="minorHAnsi" w:hAnsiTheme="minorHAnsi" w:cstheme="minorHAnsi"/>
                <w:color w:val="auto"/>
                <w:szCs w:val="20"/>
              </w:rPr>
              <w:t>SVQ in Quality Operations in the Science Industries at SCQF level 6</w:t>
            </w:r>
          </w:p>
        </w:tc>
      </w:tr>
      <w:tr w:rsidR="00093096" w:rsidRPr="00551E56" w14:paraId="0652D060" w14:textId="77777777" w:rsidTr="00C80E2B">
        <w:trPr>
          <w:trHeight w:val="443"/>
        </w:trPr>
        <w:tc>
          <w:tcPr>
            <w:tcW w:w="1702" w:type="dxa"/>
            <w:shd w:val="clear" w:color="auto" w:fill="E2EFD9" w:themeFill="accent6" w:themeFillTint="33"/>
            <w:vAlign w:val="center"/>
          </w:tcPr>
          <w:p w14:paraId="414CF42F" w14:textId="77777777" w:rsidR="00093096" w:rsidRPr="00551E56" w:rsidRDefault="00093096" w:rsidP="00C80E2B">
            <w:pPr>
              <w:pStyle w:val="mainbody"/>
              <w:spacing w:line="240" w:lineRule="auto"/>
              <w:jc w:val="center"/>
              <w:rPr>
                <w:b/>
                <w:bCs/>
                <w:color w:val="000000" w:themeColor="text1"/>
              </w:rPr>
            </w:pPr>
            <w:r w:rsidRPr="00551E56">
              <w:rPr>
                <w:b/>
                <w:bCs/>
                <w:color w:val="000000" w:themeColor="text1"/>
              </w:rPr>
              <w:t>Qualification Number (QAN):</w:t>
            </w:r>
          </w:p>
        </w:tc>
        <w:tc>
          <w:tcPr>
            <w:tcW w:w="8505" w:type="dxa"/>
            <w:shd w:val="clear" w:color="auto" w:fill="auto"/>
            <w:vAlign w:val="center"/>
          </w:tcPr>
          <w:p w14:paraId="4040859E" w14:textId="535CC4EE" w:rsidR="00093096" w:rsidRPr="00551E56" w:rsidRDefault="00F956CB" w:rsidP="002369F6">
            <w:pPr>
              <w:pStyle w:val="mainbody"/>
              <w:spacing w:line="240" w:lineRule="auto"/>
              <w:rPr>
                <w:color w:val="000000" w:themeColor="text1"/>
              </w:rPr>
            </w:pPr>
            <w:r>
              <w:rPr>
                <w:color w:val="000000" w:themeColor="text1"/>
              </w:rPr>
              <w:t>GV4J 46</w:t>
            </w:r>
          </w:p>
        </w:tc>
      </w:tr>
    </w:tbl>
    <w:tbl>
      <w:tblPr>
        <w:tblStyle w:val="TableGrid1"/>
        <w:tblW w:w="10207" w:type="dxa"/>
        <w:tblInd w:w="-145" w:type="dxa"/>
        <w:tblCellMar>
          <w:top w:w="80" w:type="dxa"/>
          <w:left w:w="80" w:type="dxa"/>
          <w:right w:w="79" w:type="dxa"/>
        </w:tblCellMar>
        <w:tblLook w:val="04A0" w:firstRow="1" w:lastRow="0" w:firstColumn="1" w:lastColumn="0" w:noHBand="0" w:noVBand="1"/>
      </w:tblPr>
      <w:tblGrid>
        <w:gridCol w:w="1702"/>
        <w:gridCol w:w="6378"/>
        <w:gridCol w:w="993"/>
        <w:gridCol w:w="1134"/>
      </w:tblGrid>
      <w:tr w:rsidR="00F956CB" w:rsidRPr="00A00722" w14:paraId="5B6A27D9" w14:textId="77777777" w:rsidTr="00F956CB">
        <w:trPr>
          <w:trHeight w:val="286"/>
        </w:trPr>
        <w:tc>
          <w:tcPr>
            <w:tcW w:w="1702" w:type="dxa"/>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397FFCD5" w14:textId="77777777" w:rsidR="00F956CB" w:rsidRPr="00F956CB" w:rsidRDefault="00F956CB" w:rsidP="00C90961">
            <w:pPr>
              <w:spacing w:after="0" w:line="259" w:lineRule="auto"/>
              <w:ind w:left="48" w:firstLine="0"/>
              <w:rPr>
                <w:rFonts w:asciiTheme="minorHAnsi" w:hAnsiTheme="minorHAnsi" w:cstheme="minorHAnsi"/>
                <w:color w:val="auto"/>
              </w:rPr>
            </w:pPr>
            <w:r w:rsidRPr="00F956CB">
              <w:rPr>
                <w:rFonts w:asciiTheme="minorHAnsi" w:hAnsiTheme="minorHAnsi" w:cstheme="minorHAnsi"/>
                <w:b/>
                <w:color w:val="auto"/>
              </w:rPr>
              <w:t>Unit Number</w:t>
            </w:r>
          </w:p>
        </w:tc>
        <w:tc>
          <w:tcPr>
            <w:tcW w:w="6378" w:type="dxa"/>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7E13538A" w14:textId="77777777" w:rsidR="00F956CB" w:rsidRPr="00F956CB" w:rsidRDefault="00F956CB" w:rsidP="00C90961">
            <w:pPr>
              <w:spacing w:after="0" w:line="259" w:lineRule="auto"/>
              <w:ind w:left="0" w:firstLine="0"/>
              <w:jc w:val="center"/>
              <w:rPr>
                <w:rFonts w:asciiTheme="minorHAnsi" w:hAnsiTheme="minorHAnsi" w:cstheme="minorHAnsi"/>
                <w:color w:val="auto"/>
              </w:rPr>
            </w:pPr>
            <w:r w:rsidRPr="00F956CB">
              <w:rPr>
                <w:rFonts w:asciiTheme="minorHAnsi" w:hAnsiTheme="minorHAnsi" w:cstheme="minorHAnsi"/>
                <w:b/>
                <w:color w:val="auto"/>
              </w:rPr>
              <w:t>Mandatory Units</w:t>
            </w:r>
          </w:p>
        </w:tc>
        <w:tc>
          <w:tcPr>
            <w:tcW w:w="993" w:type="dxa"/>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4678BF02" w14:textId="77777777" w:rsidR="00F956CB" w:rsidRPr="00F956CB" w:rsidRDefault="00F956CB" w:rsidP="00C90961">
            <w:pPr>
              <w:spacing w:after="0" w:line="259" w:lineRule="auto"/>
              <w:ind w:left="0" w:firstLine="0"/>
              <w:jc w:val="center"/>
              <w:rPr>
                <w:rFonts w:asciiTheme="minorHAnsi" w:hAnsiTheme="minorHAnsi" w:cstheme="minorHAnsi"/>
                <w:color w:val="auto"/>
              </w:rPr>
            </w:pPr>
            <w:r w:rsidRPr="00F956CB">
              <w:rPr>
                <w:rFonts w:asciiTheme="minorHAnsi" w:hAnsiTheme="minorHAnsi" w:cstheme="minorHAnsi"/>
                <w:b/>
                <w:color w:val="auto"/>
              </w:rPr>
              <w:t>Level</w:t>
            </w:r>
          </w:p>
        </w:tc>
        <w:tc>
          <w:tcPr>
            <w:tcW w:w="1134" w:type="dxa"/>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21447C88" w14:textId="77777777" w:rsidR="00F956CB" w:rsidRPr="00F956CB" w:rsidRDefault="00F956CB" w:rsidP="00C90961">
            <w:pPr>
              <w:spacing w:after="0" w:line="259" w:lineRule="auto"/>
              <w:ind w:left="0" w:firstLine="0"/>
              <w:jc w:val="center"/>
              <w:rPr>
                <w:rFonts w:asciiTheme="minorHAnsi" w:hAnsiTheme="minorHAnsi" w:cstheme="minorHAnsi"/>
                <w:color w:val="auto"/>
              </w:rPr>
            </w:pPr>
            <w:r w:rsidRPr="00F956CB">
              <w:rPr>
                <w:rFonts w:asciiTheme="minorHAnsi" w:hAnsiTheme="minorHAnsi" w:cstheme="minorHAnsi"/>
                <w:b/>
                <w:color w:val="auto"/>
              </w:rPr>
              <w:t>Credit Value</w:t>
            </w:r>
          </w:p>
        </w:tc>
      </w:tr>
      <w:tr w:rsidR="00F956CB" w:rsidRPr="00D7370E" w14:paraId="77878C79"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1287A3C0"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COGLS301</w:t>
            </w:r>
          </w:p>
        </w:tc>
        <w:tc>
          <w:tcPr>
            <w:tcW w:w="6378" w:type="dxa"/>
            <w:tcBorders>
              <w:top w:val="single" w:sz="2" w:space="0" w:color="181717"/>
              <w:left w:val="single" w:sz="2" w:space="0" w:color="181717"/>
              <w:bottom w:val="single" w:sz="2" w:space="0" w:color="181717"/>
              <w:right w:val="single" w:sz="2" w:space="0" w:color="181717"/>
            </w:tcBorders>
          </w:tcPr>
          <w:p w14:paraId="78A1B026"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Maintain Health and Safety Procedures in Life Sciences and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6DEF92D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1AE2529A"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9</w:t>
            </w:r>
          </w:p>
        </w:tc>
      </w:tr>
      <w:tr w:rsidR="00F956CB" w:rsidRPr="00D7370E" w14:paraId="2DB965E8"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2624F672" w14:textId="77777777" w:rsidR="00F956CB" w:rsidRPr="00D7370E" w:rsidRDefault="00F956CB" w:rsidP="00C90961">
            <w:pPr>
              <w:spacing w:after="0" w:line="259" w:lineRule="auto"/>
              <w:rPr>
                <w:rFonts w:asciiTheme="minorHAnsi" w:hAnsiTheme="minorHAnsi" w:cstheme="minorHAnsi"/>
                <w:color w:val="auto"/>
                <w:szCs w:val="20"/>
              </w:rPr>
            </w:pPr>
            <w:r w:rsidRPr="00D7370E">
              <w:rPr>
                <w:rFonts w:asciiTheme="minorHAnsi" w:hAnsiTheme="minorHAnsi" w:cstheme="minorHAnsi"/>
                <w:szCs w:val="20"/>
              </w:rPr>
              <w:t>COGLS202</w:t>
            </w:r>
          </w:p>
        </w:tc>
        <w:tc>
          <w:tcPr>
            <w:tcW w:w="6378" w:type="dxa"/>
            <w:tcBorders>
              <w:top w:val="single" w:sz="2" w:space="0" w:color="181717"/>
              <w:left w:val="single" w:sz="2" w:space="0" w:color="181717"/>
              <w:bottom w:val="single" w:sz="2" w:space="0" w:color="181717"/>
              <w:right w:val="single" w:sz="2" w:space="0" w:color="181717"/>
            </w:tcBorders>
          </w:tcPr>
          <w:p w14:paraId="730F29E2"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Maintain Effective and Efficient Working Relationships in Life Sciences and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27C6C554"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0F8CF5AB"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3</w:t>
            </w:r>
          </w:p>
        </w:tc>
      </w:tr>
      <w:tr w:rsidR="00F956CB" w:rsidRPr="00D7370E" w14:paraId="79540209"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3C874561" w14:textId="77777777" w:rsidR="00F956CB" w:rsidRPr="00D7370E" w:rsidRDefault="00F956CB" w:rsidP="00C90961">
            <w:pPr>
              <w:spacing w:after="0" w:line="259" w:lineRule="auto"/>
              <w:rPr>
                <w:rFonts w:asciiTheme="minorHAnsi" w:hAnsiTheme="minorHAnsi" w:cstheme="minorHAnsi"/>
                <w:color w:val="auto"/>
                <w:szCs w:val="20"/>
              </w:rPr>
            </w:pPr>
            <w:r w:rsidRPr="00D7370E">
              <w:rPr>
                <w:rFonts w:asciiTheme="minorHAnsi" w:hAnsiTheme="minorHAnsi" w:cstheme="minorHAnsi"/>
                <w:szCs w:val="20"/>
              </w:rPr>
              <w:t>COGLS327</w:t>
            </w:r>
          </w:p>
        </w:tc>
        <w:tc>
          <w:tcPr>
            <w:tcW w:w="6378" w:type="dxa"/>
            <w:tcBorders>
              <w:top w:val="single" w:sz="2" w:space="0" w:color="181717"/>
              <w:left w:val="single" w:sz="2" w:space="0" w:color="181717"/>
              <w:bottom w:val="single" w:sz="2" w:space="0" w:color="181717"/>
              <w:right w:val="single" w:sz="2" w:space="0" w:color="181717"/>
            </w:tcBorders>
          </w:tcPr>
          <w:p w14:paraId="2C7D7ABF"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Applying Basic Statistics in Life Sciences and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64DAC96D"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386E44D9"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16</w:t>
            </w:r>
          </w:p>
        </w:tc>
      </w:tr>
      <w:tr w:rsidR="00F956CB" w:rsidRPr="00D7370E" w14:paraId="02218917" w14:textId="77777777" w:rsidTr="00F956CB">
        <w:trPr>
          <w:trHeight w:val="550"/>
        </w:trPr>
        <w:tc>
          <w:tcPr>
            <w:tcW w:w="1702" w:type="dxa"/>
            <w:tcBorders>
              <w:top w:val="single" w:sz="2" w:space="0" w:color="181717"/>
              <w:left w:val="single" w:sz="2" w:space="0" w:color="181717"/>
              <w:bottom w:val="single" w:sz="2" w:space="0" w:color="181717"/>
              <w:right w:val="single" w:sz="2" w:space="0" w:color="181717"/>
            </w:tcBorders>
            <w:vAlign w:val="center"/>
          </w:tcPr>
          <w:p w14:paraId="26DEFEDE" w14:textId="77777777" w:rsidR="00F956CB" w:rsidRPr="00D7370E" w:rsidRDefault="00F956CB" w:rsidP="00C90961">
            <w:pPr>
              <w:spacing w:after="0"/>
              <w:rPr>
                <w:rFonts w:asciiTheme="minorHAnsi" w:hAnsiTheme="minorHAnsi" w:cstheme="minorHAnsi"/>
                <w:color w:val="auto"/>
                <w:szCs w:val="20"/>
              </w:rPr>
            </w:pPr>
            <w:r w:rsidRPr="00D7370E">
              <w:rPr>
                <w:rFonts w:asciiTheme="minorHAnsi" w:hAnsiTheme="minorHAnsi" w:cstheme="minorHAnsi"/>
                <w:szCs w:val="20"/>
              </w:rPr>
              <w:t>COGLS203</w:t>
            </w:r>
          </w:p>
        </w:tc>
        <w:tc>
          <w:tcPr>
            <w:tcW w:w="6378" w:type="dxa"/>
            <w:tcBorders>
              <w:top w:val="single" w:sz="2" w:space="0" w:color="181717"/>
              <w:left w:val="single" w:sz="2" w:space="0" w:color="181717"/>
              <w:bottom w:val="single" w:sz="2" w:space="0" w:color="181717"/>
              <w:right w:val="single" w:sz="2" w:space="0" w:color="181717"/>
            </w:tcBorders>
          </w:tcPr>
          <w:p w14:paraId="53E45E31" w14:textId="77777777" w:rsidR="00F956CB" w:rsidRPr="00D7370E" w:rsidRDefault="00F956CB" w:rsidP="00C90961">
            <w:pPr>
              <w:spacing w:after="0"/>
              <w:ind w:left="0" w:right="471" w:firstLine="0"/>
              <w:rPr>
                <w:rFonts w:asciiTheme="minorHAnsi" w:hAnsiTheme="minorHAnsi" w:cstheme="minorHAnsi"/>
                <w:color w:val="auto"/>
                <w:szCs w:val="20"/>
              </w:rPr>
            </w:pPr>
            <w:r w:rsidRPr="00D7370E">
              <w:rPr>
                <w:rFonts w:asciiTheme="minorHAnsi" w:hAnsiTheme="minorHAnsi" w:cstheme="minorHAnsi"/>
                <w:szCs w:val="20"/>
              </w:rPr>
              <w:t>Use Information Recording Systems in Life Sciences and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7AFE6BF1" w14:textId="77777777" w:rsidR="00F956CB" w:rsidRPr="00D7370E" w:rsidRDefault="00F956CB" w:rsidP="00C90961">
            <w:pPr>
              <w:spacing w:after="0"/>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0D7FFD35" w14:textId="77777777" w:rsidR="00F956CB" w:rsidRPr="00D7370E" w:rsidRDefault="00F956CB" w:rsidP="00C90961">
            <w:pPr>
              <w:spacing w:after="0"/>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r>
      <w:tr w:rsidR="00F956CB" w:rsidRPr="00A00722" w14:paraId="78473E7A" w14:textId="77777777" w:rsidTr="00F956CB">
        <w:trPr>
          <w:trHeight w:val="268"/>
        </w:trPr>
        <w:tc>
          <w:tcPr>
            <w:tcW w:w="10207" w:type="dxa"/>
            <w:gridSpan w:val="4"/>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5B94D89F" w14:textId="77777777" w:rsidR="00F956CB" w:rsidRPr="00F956CB" w:rsidRDefault="00F956CB" w:rsidP="00C90961">
            <w:pPr>
              <w:spacing w:after="0" w:line="259" w:lineRule="auto"/>
              <w:ind w:left="0" w:firstLine="0"/>
              <w:jc w:val="center"/>
              <w:rPr>
                <w:rFonts w:asciiTheme="minorHAnsi" w:hAnsiTheme="minorHAnsi" w:cstheme="minorHAnsi"/>
                <w:b/>
                <w:color w:val="auto"/>
              </w:rPr>
            </w:pPr>
            <w:r w:rsidRPr="00F956CB">
              <w:rPr>
                <w:rFonts w:asciiTheme="minorHAnsi" w:hAnsiTheme="minorHAnsi" w:cstheme="minorHAnsi"/>
                <w:b/>
                <w:color w:val="auto"/>
              </w:rPr>
              <w:t xml:space="preserve">In addition to the qualification mandatory units, candidates must also achieve 4 optional units, </w:t>
            </w:r>
            <w:r w:rsidRPr="00F956CB">
              <w:rPr>
                <w:rFonts w:asciiTheme="minorHAnsi" w:hAnsiTheme="minorHAnsi" w:cstheme="minorHAnsi"/>
                <w:b/>
                <w:color w:val="FF0000"/>
              </w:rPr>
              <w:t>at least 3 of these must come from Optional Units Group A</w:t>
            </w:r>
          </w:p>
        </w:tc>
      </w:tr>
      <w:tr w:rsidR="00F956CB" w:rsidRPr="00A00722" w14:paraId="631D90DC" w14:textId="77777777" w:rsidTr="00F956CB">
        <w:trPr>
          <w:trHeight w:val="268"/>
        </w:trPr>
        <w:tc>
          <w:tcPr>
            <w:tcW w:w="10207" w:type="dxa"/>
            <w:gridSpan w:val="4"/>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6034C2AF" w14:textId="77777777" w:rsidR="00F956CB" w:rsidRPr="00F956CB" w:rsidRDefault="00F956CB" w:rsidP="00C90961">
            <w:pPr>
              <w:spacing w:after="0" w:line="259" w:lineRule="auto"/>
              <w:ind w:left="0" w:firstLine="0"/>
              <w:jc w:val="center"/>
              <w:rPr>
                <w:rFonts w:asciiTheme="minorHAnsi" w:hAnsiTheme="minorHAnsi" w:cstheme="minorHAnsi"/>
                <w:color w:val="auto"/>
              </w:rPr>
            </w:pPr>
            <w:r w:rsidRPr="00F956CB">
              <w:rPr>
                <w:rFonts w:asciiTheme="minorHAnsi" w:hAnsiTheme="minorHAnsi" w:cstheme="minorHAnsi"/>
                <w:b/>
                <w:color w:val="auto"/>
              </w:rPr>
              <w:t>Optional Units Group A - Pick 3 or 4 Units</w:t>
            </w:r>
          </w:p>
        </w:tc>
      </w:tr>
      <w:tr w:rsidR="00F956CB" w:rsidRPr="00F85025" w14:paraId="6025A514"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004B273C"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COGLS216</w:t>
            </w:r>
          </w:p>
        </w:tc>
        <w:tc>
          <w:tcPr>
            <w:tcW w:w="6378" w:type="dxa"/>
            <w:tcBorders>
              <w:top w:val="single" w:sz="2" w:space="0" w:color="181717"/>
              <w:left w:val="single" w:sz="2" w:space="0" w:color="181717"/>
              <w:bottom w:val="single" w:sz="2" w:space="0" w:color="181717"/>
              <w:right w:val="single" w:sz="2" w:space="0" w:color="181717"/>
            </w:tcBorders>
          </w:tcPr>
          <w:p w14:paraId="5E2CDE12"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Operating in a Clean Room or Aseptic Facility in Life Sciences and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7A5037FF"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7281299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9</w:t>
            </w:r>
          </w:p>
        </w:tc>
      </w:tr>
      <w:tr w:rsidR="00F956CB" w:rsidRPr="00F85025" w14:paraId="77BF1FAC"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1F3AC9A8"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COGSQO-03</w:t>
            </w:r>
          </w:p>
        </w:tc>
        <w:tc>
          <w:tcPr>
            <w:tcW w:w="6378" w:type="dxa"/>
            <w:tcBorders>
              <w:top w:val="single" w:sz="2" w:space="0" w:color="181717"/>
              <w:left w:val="single" w:sz="2" w:space="0" w:color="181717"/>
              <w:bottom w:val="single" w:sz="2" w:space="0" w:color="181717"/>
              <w:right w:val="single" w:sz="2" w:space="0" w:color="181717"/>
            </w:tcBorders>
          </w:tcPr>
          <w:p w14:paraId="2D570042"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Assure Quality Methods and Procedures in a Science or Technology Environment</w:t>
            </w:r>
          </w:p>
        </w:tc>
        <w:tc>
          <w:tcPr>
            <w:tcW w:w="993" w:type="dxa"/>
            <w:tcBorders>
              <w:top w:val="single" w:sz="2" w:space="0" w:color="181717"/>
              <w:left w:val="single" w:sz="2" w:space="0" w:color="181717"/>
              <w:bottom w:val="single" w:sz="2" w:space="0" w:color="181717"/>
              <w:right w:val="single" w:sz="2" w:space="0" w:color="181717"/>
            </w:tcBorders>
            <w:vAlign w:val="center"/>
          </w:tcPr>
          <w:p w14:paraId="7DB1AFBA"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24AF64EA"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5</w:t>
            </w:r>
          </w:p>
        </w:tc>
      </w:tr>
      <w:tr w:rsidR="00F956CB" w:rsidRPr="00F85025" w14:paraId="4AC3B0FD"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7A2F124D"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COGSQO-05</w:t>
            </w:r>
          </w:p>
        </w:tc>
        <w:tc>
          <w:tcPr>
            <w:tcW w:w="6378" w:type="dxa"/>
            <w:tcBorders>
              <w:top w:val="single" w:sz="2" w:space="0" w:color="181717"/>
              <w:left w:val="single" w:sz="2" w:space="0" w:color="181717"/>
              <w:bottom w:val="single" w:sz="2" w:space="0" w:color="181717"/>
              <w:right w:val="single" w:sz="2" w:space="0" w:color="181717"/>
            </w:tcBorders>
          </w:tcPr>
          <w:p w14:paraId="7ADE07E2"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Inspect Quality of Raw Material and Products within in a Science or Technology Manufacturing, Storage and Distribution Environment</w:t>
            </w:r>
          </w:p>
        </w:tc>
        <w:tc>
          <w:tcPr>
            <w:tcW w:w="993" w:type="dxa"/>
            <w:tcBorders>
              <w:top w:val="single" w:sz="2" w:space="0" w:color="181717"/>
              <w:left w:val="single" w:sz="2" w:space="0" w:color="181717"/>
              <w:bottom w:val="single" w:sz="2" w:space="0" w:color="181717"/>
              <w:right w:val="single" w:sz="2" w:space="0" w:color="181717"/>
            </w:tcBorders>
            <w:vAlign w:val="center"/>
          </w:tcPr>
          <w:p w14:paraId="32E1694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0C91A716"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3</w:t>
            </w:r>
          </w:p>
        </w:tc>
      </w:tr>
      <w:tr w:rsidR="00F956CB" w:rsidRPr="00F85025" w14:paraId="360482D5"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5069A403"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COGSQO-13</w:t>
            </w:r>
          </w:p>
        </w:tc>
        <w:tc>
          <w:tcPr>
            <w:tcW w:w="6378" w:type="dxa"/>
            <w:tcBorders>
              <w:top w:val="single" w:sz="2" w:space="0" w:color="181717"/>
              <w:left w:val="single" w:sz="2" w:space="0" w:color="181717"/>
              <w:bottom w:val="single" w:sz="2" w:space="0" w:color="181717"/>
              <w:right w:val="single" w:sz="2" w:space="0" w:color="181717"/>
            </w:tcBorders>
          </w:tcPr>
          <w:p w14:paraId="7FC5F994"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Conduct Scientific or Technical Sampling and Testing Operations</w:t>
            </w:r>
          </w:p>
        </w:tc>
        <w:tc>
          <w:tcPr>
            <w:tcW w:w="993" w:type="dxa"/>
            <w:tcBorders>
              <w:top w:val="single" w:sz="2" w:space="0" w:color="181717"/>
              <w:left w:val="single" w:sz="2" w:space="0" w:color="181717"/>
              <w:bottom w:val="single" w:sz="2" w:space="0" w:color="181717"/>
              <w:right w:val="single" w:sz="2" w:space="0" w:color="181717"/>
            </w:tcBorders>
            <w:vAlign w:val="center"/>
          </w:tcPr>
          <w:p w14:paraId="69049195"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5</w:t>
            </w:r>
          </w:p>
        </w:tc>
        <w:tc>
          <w:tcPr>
            <w:tcW w:w="1134" w:type="dxa"/>
            <w:tcBorders>
              <w:top w:val="single" w:sz="2" w:space="0" w:color="181717"/>
              <w:left w:val="single" w:sz="2" w:space="0" w:color="181717"/>
              <w:bottom w:val="single" w:sz="2" w:space="0" w:color="181717"/>
              <w:right w:val="single" w:sz="2" w:space="0" w:color="181717"/>
            </w:tcBorders>
            <w:vAlign w:val="center"/>
          </w:tcPr>
          <w:p w14:paraId="6F51F3D7"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r>
      <w:tr w:rsidR="00F956CB" w:rsidRPr="00F85025" w14:paraId="1BBDCC7C"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661BE571"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COGSQO-02</w:t>
            </w:r>
          </w:p>
        </w:tc>
        <w:tc>
          <w:tcPr>
            <w:tcW w:w="6378" w:type="dxa"/>
            <w:tcBorders>
              <w:top w:val="single" w:sz="2" w:space="0" w:color="181717"/>
              <w:left w:val="single" w:sz="2" w:space="0" w:color="181717"/>
              <w:bottom w:val="single" w:sz="2" w:space="0" w:color="181717"/>
              <w:right w:val="single" w:sz="2" w:space="0" w:color="181717"/>
            </w:tcBorders>
          </w:tcPr>
          <w:p w14:paraId="573E0581"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Analyse and Interpret Data in Science or Technology Related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0165FD75"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c>
          <w:tcPr>
            <w:tcW w:w="1134" w:type="dxa"/>
            <w:tcBorders>
              <w:top w:val="single" w:sz="2" w:space="0" w:color="181717"/>
              <w:left w:val="single" w:sz="2" w:space="0" w:color="181717"/>
              <w:bottom w:val="single" w:sz="2" w:space="0" w:color="181717"/>
              <w:right w:val="single" w:sz="2" w:space="0" w:color="181717"/>
            </w:tcBorders>
            <w:vAlign w:val="center"/>
          </w:tcPr>
          <w:p w14:paraId="40B931F1"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9</w:t>
            </w:r>
          </w:p>
        </w:tc>
      </w:tr>
      <w:tr w:rsidR="00F956CB" w:rsidRPr="00F85025" w14:paraId="498126EF"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5B5A7F7F"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COGLATA3-09</w:t>
            </w:r>
          </w:p>
        </w:tc>
        <w:tc>
          <w:tcPr>
            <w:tcW w:w="6378" w:type="dxa"/>
            <w:tcBorders>
              <w:top w:val="single" w:sz="2" w:space="0" w:color="181717"/>
              <w:left w:val="single" w:sz="2" w:space="0" w:color="181717"/>
              <w:bottom w:val="single" w:sz="2" w:space="0" w:color="181717"/>
              <w:right w:val="single" w:sz="2" w:space="0" w:color="181717"/>
            </w:tcBorders>
          </w:tcPr>
          <w:p w14:paraId="39DA0BCB"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Carry out scientific or technical Investigations</w:t>
            </w:r>
          </w:p>
        </w:tc>
        <w:tc>
          <w:tcPr>
            <w:tcW w:w="993" w:type="dxa"/>
            <w:tcBorders>
              <w:top w:val="single" w:sz="2" w:space="0" w:color="181717"/>
              <w:left w:val="single" w:sz="2" w:space="0" w:color="181717"/>
              <w:bottom w:val="single" w:sz="2" w:space="0" w:color="181717"/>
              <w:right w:val="single" w:sz="2" w:space="0" w:color="181717"/>
            </w:tcBorders>
            <w:vAlign w:val="center"/>
          </w:tcPr>
          <w:p w14:paraId="7D0350B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c>
          <w:tcPr>
            <w:tcW w:w="1134" w:type="dxa"/>
            <w:tcBorders>
              <w:top w:val="single" w:sz="2" w:space="0" w:color="181717"/>
              <w:left w:val="single" w:sz="2" w:space="0" w:color="181717"/>
              <w:bottom w:val="single" w:sz="2" w:space="0" w:color="181717"/>
              <w:right w:val="single" w:sz="2" w:space="0" w:color="181717"/>
            </w:tcBorders>
            <w:vAlign w:val="center"/>
          </w:tcPr>
          <w:p w14:paraId="033CAB3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9</w:t>
            </w:r>
          </w:p>
        </w:tc>
      </w:tr>
      <w:tr w:rsidR="00F956CB" w:rsidRPr="00F85025" w14:paraId="62CEB380"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7ABF8361"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COGLS11</w:t>
            </w:r>
          </w:p>
        </w:tc>
        <w:tc>
          <w:tcPr>
            <w:tcW w:w="6378" w:type="dxa"/>
            <w:tcBorders>
              <w:top w:val="single" w:sz="2" w:space="0" w:color="181717"/>
              <w:left w:val="single" w:sz="2" w:space="0" w:color="181717"/>
              <w:bottom w:val="single" w:sz="2" w:space="0" w:color="181717"/>
              <w:right w:val="single" w:sz="2" w:space="0" w:color="181717"/>
            </w:tcBorders>
          </w:tcPr>
          <w:p w14:paraId="202007F1"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Solve problems in life sciences related work activities</w:t>
            </w:r>
          </w:p>
        </w:tc>
        <w:tc>
          <w:tcPr>
            <w:tcW w:w="993" w:type="dxa"/>
            <w:tcBorders>
              <w:top w:val="single" w:sz="2" w:space="0" w:color="181717"/>
              <w:left w:val="single" w:sz="2" w:space="0" w:color="181717"/>
              <w:bottom w:val="single" w:sz="2" w:space="0" w:color="181717"/>
              <w:right w:val="single" w:sz="2" w:space="0" w:color="181717"/>
            </w:tcBorders>
            <w:vAlign w:val="center"/>
          </w:tcPr>
          <w:p w14:paraId="07DD6B04"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c>
          <w:tcPr>
            <w:tcW w:w="1134" w:type="dxa"/>
            <w:tcBorders>
              <w:top w:val="single" w:sz="2" w:space="0" w:color="181717"/>
              <w:left w:val="single" w:sz="2" w:space="0" w:color="181717"/>
              <w:bottom w:val="single" w:sz="2" w:space="0" w:color="181717"/>
              <w:right w:val="single" w:sz="2" w:space="0" w:color="181717"/>
            </w:tcBorders>
            <w:vAlign w:val="center"/>
          </w:tcPr>
          <w:p w14:paraId="545F3059"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r>
      <w:tr w:rsidR="00F956CB" w:rsidRPr="00F85025" w14:paraId="1543BB58"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vAlign w:val="center"/>
          </w:tcPr>
          <w:p w14:paraId="2EC9284B"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COGLATA4-05</w:t>
            </w:r>
          </w:p>
        </w:tc>
        <w:tc>
          <w:tcPr>
            <w:tcW w:w="6378" w:type="dxa"/>
            <w:tcBorders>
              <w:top w:val="single" w:sz="2" w:space="0" w:color="181717"/>
              <w:left w:val="single" w:sz="2" w:space="0" w:color="181717"/>
              <w:bottom w:val="single" w:sz="2" w:space="0" w:color="181717"/>
              <w:right w:val="single" w:sz="2" w:space="0" w:color="181717"/>
            </w:tcBorders>
          </w:tcPr>
          <w:p w14:paraId="761B8335"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Plan and run scientific or technical projects for workplace activities</w:t>
            </w:r>
          </w:p>
        </w:tc>
        <w:tc>
          <w:tcPr>
            <w:tcW w:w="993" w:type="dxa"/>
            <w:tcBorders>
              <w:top w:val="single" w:sz="2" w:space="0" w:color="181717"/>
              <w:left w:val="single" w:sz="2" w:space="0" w:color="181717"/>
              <w:bottom w:val="single" w:sz="2" w:space="0" w:color="181717"/>
              <w:right w:val="single" w:sz="2" w:space="0" w:color="181717"/>
            </w:tcBorders>
            <w:vAlign w:val="center"/>
          </w:tcPr>
          <w:p w14:paraId="188590C7"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c>
          <w:tcPr>
            <w:tcW w:w="1134" w:type="dxa"/>
            <w:tcBorders>
              <w:top w:val="single" w:sz="2" w:space="0" w:color="181717"/>
              <w:left w:val="single" w:sz="2" w:space="0" w:color="181717"/>
              <w:bottom w:val="single" w:sz="2" w:space="0" w:color="181717"/>
              <w:right w:val="single" w:sz="2" w:space="0" w:color="181717"/>
            </w:tcBorders>
            <w:vAlign w:val="center"/>
          </w:tcPr>
          <w:p w14:paraId="570FD3F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5</w:t>
            </w:r>
          </w:p>
        </w:tc>
      </w:tr>
      <w:tr w:rsidR="00F956CB" w:rsidRPr="00F85025" w14:paraId="0B75F4C8"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6276E82C"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COGLATA3-11</w:t>
            </w:r>
          </w:p>
        </w:tc>
        <w:tc>
          <w:tcPr>
            <w:tcW w:w="6378" w:type="dxa"/>
            <w:tcBorders>
              <w:top w:val="single" w:sz="2" w:space="0" w:color="181717"/>
              <w:left w:val="single" w:sz="2" w:space="0" w:color="181717"/>
              <w:bottom w:val="single" w:sz="2" w:space="0" w:color="181717"/>
              <w:right w:val="single" w:sz="2" w:space="0" w:color="181717"/>
            </w:tcBorders>
          </w:tcPr>
          <w:p w14:paraId="06B5CB96"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 xml:space="preserve">Diagnose faults, </w:t>
            </w:r>
            <w:proofErr w:type="gramStart"/>
            <w:r w:rsidRPr="00D7370E">
              <w:rPr>
                <w:rFonts w:asciiTheme="minorHAnsi" w:hAnsiTheme="minorHAnsi" w:cstheme="minorHAnsi"/>
                <w:szCs w:val="20"/>
              </w:rPr>
              <w:t>repair</w:t>
            </w:r>
            <w:proofErr w:type="gramEnd"/>
            <w:r w:rsidRPr="00D7370E">
              <w:rPr>
                <w:rFonts w:asciiTheme="minorHAnsi" w:hAnsiTheme="minorHAnsi" w:cstheme="minorHAnsi"/>
                <w:szCs w:val="20"/>
              </w:rPr>
              <w:t xml:space="preserve"> and maintain scientific or technical equipment for workplace activities</w:t>
            </w:r>
          </w:p>
        </w:tc>
        <w:tc>
          <w:tcPr>
            <w:tcW w:w="993" w:type="dxa"/>
            <w:tcBorders>
              <w:top w:val="single" w:sz="2" w:space="0" w:color="181717"/>
              <w:left w:val="single" w:sz="2" w:space="0" w:color="181717"/>
              <w:bottom w:val="single" w:sz="2" w:space="0" w:color="181717"/>
              <w:right w:val="single" w:sz="2" w:space="0" w:color="181717"/>
            </w:tcBorders>
            <w:vAlign w:val="center"/>
          </w:tcPr>
          <w:p w14:paraId="074FE6A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c>
          <w:tcPr>
            <w:tcW w:w="1134" w:type="dxa"/>
            <w:tcBorders>
              <w:top w:val="single" w:sz="2" w:space="0" w:color="181717"/>
              <w:left w:val="single" w:sz="2" w:space="0" w:color="181717"/>
              <w:bottom w:val="single" w:sz="2" w:space="0" w:color="181717"/>
              <w:right w:val="single" w:sz="2" w:space="0" w:color="181717"/>
            </w:tcBorders>
            <w:vAlign w:val="center"/>
          </w:tcPr>
          <w:p w14:paraId="1F5142A2"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r>
      <w:tr w:rsidR="00F956CB" w:rsidRPr="00F85025" w14:paraId="6F25E22B" w14:textId="77777777" w:rsidTr="00F956CB">
        <w:trPr>
          <w:trHeight w:val="310"/>
        </w:trPr>
        <w:tc>
          <w:tcPr>
            <w:tcW w:w="10207" w:type="dxa"/>
            <w:gridSpan w:val="4"/>
            <w:tcBorders>
              <w:top w:val="single" w:sz="2" w:space="0" w:color="181717"/>
              <w:left w:val="single" w:sz="2" w:space="0" w:color="181717"/>
              <w:bottom w:val="single" w:sz="2" w:space="0" w:color="181717"/>
              <w:right w:val="single" w:sz="2" w:space="0" w:color="181717"/>
            </w:tcBorders>
            <w:shd w:val="clear" w:color="auto" w:fill="E2EFD9" w:themeFill="accent6" w:themeFillTint="33"/>
          </w:tcPr>
          <w:p w14:paraId="473C4B69" w14:textId="77777777" w:rsidR="00F956CB" w:rsidRPr="00F956CB" w:rsidRDefault="00F956CB" w:rsidP="00C90961">
            <w:pPr>
              <w:spacing w:after="0" w:line="259" w:lineRule="auto"/>
              <w:ind w:left="0" w:firstLine="0"/>
              <w:jc w:val="center"/>
              <w:rPr>
                <w:rFonts w:asciiTheme="minorHAnsi" w:hAnsiTheme="minorHAnsi" w:cstheme="minorHAnsi"/>
                <w:b/>
                <w:bCs/>
                <w:color w:val="auto"/>
              </w:rPr>
            </w:pPr>
            <w:r w:rsidRPr="00F956CB">
              <w:rPr>
                <w:rFonts w:asciiTheme="minorHAnsi" w:hAnsiTheme="minorHAnsi" w:cstheme="minorHAnsi"/>
                <w:b/>
                <w:color w:val="auto"/>
              </w:rPr>
              <w:t>Optional Units Group B - Pick up to 1 Unit</w:t>
            </w:r>
          </w:p>
        </w:tc>
      </w:tr>
      <w:tr w:rsidR="00F956CB" w:rsidRPr="00D7370E" w14:paraId="66035EC6" w14:textId="77777777" w:rsidTr="00F956CB">
        <w:trPr>
          <w:trHeight w:val="752"/>
        </w:trPr>
        <w:tc>
          <w:tcPr>
            <w:tcW w:w="1702" w:type="dxa"/>
            <w:tcBorders>
              <w:top w:val="single" w:sz="2" w:space="0" w:color="181717"/>
              <w:left w:val="single" w:sz="2" w:space="0" w:color="181717"/>
              <w:bottom w:val="single" w:sz="2" w:space="0" w:color="181717"/>
              <w:right w:val="single" w:sz="2" w:space="0" w:color="181717"/>
            </w:tcBorders>
          </w:tcPr>
          <w:p w14:paraId="1B628276" w14:textId="77777777" w:rsidR="00F956CB" w:rsidRPr="00D7370E" w:rsidRDefault="00F956CB" w:rsidP="00C90961">
            <w:pPr>
              <w:spacing w:after="0"/>
              <w:ind w:left="0" w:firstLine="0"/>
              <w:rPr>
                <w:rFonts w:asciiTheme="minorHAnsi" w:eastAsia="Times New Roman" w:hAnsiTheme="minorHAnsi" w:cstheme="minorHAnsi"/>
                <w:color w:val="auto"/>
                <w:szCs w:val="20"/>
              </w:rPr>
            </w:pPr>
            <w:r w:rsidRPr="00D7370E">
              <w:rPr>
                <w:rFonts w:asciiTheme="minorHAnsi" w:hAnsiTheme="minorHAnsi" w:cstheme="minorHAnsi"/>
                <w:szCs w:val="20"/>
              </w:rPr>
              <w:t>COGSQP-09</w:t>
            </w:r>
          </w:p>
          <w:p w14:paraId="2D339FA4"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p>
        </w:tc>
        <w:tc>
          <w:tcPr>
            <w:tcW w:w="6378" w:type="dxa"/>
            <w:tcBorders>
              <w:top w:val="single" w:sz="2" w:space="0" w:color="181717"/>
              <w:left w:val="single" w:sz="2" w:space="0" w:color="181717"/>
              <w:bottom w:val="single" w:sz="2" w:space="0" w:color="181717"/>
              <w:right w:val="single" w:sz="2" w:space="0" w:color="181717"/>
            </w:tcBorders>
          </w:tcPr>
          <w:p w14:paraId="308027F4"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Maintain License Requirements and Good Manufacturing Practice (GMP) to Ensure Compliance</w:t>
            </w:r>
          </w:p>
        </w:tc>
        <w:tc>
          <w:tcPr>
            <w:tcW w:w="993" w:type="dxa"/>
            <w:tcBorders>
              <w:top w:val="single" w:sz="2" w:space="0" w:color="181717"/>
              <w:left w:val="single" w:sz="2" w:space="0" w:color="181717"/>
              <w:bottom w:val="single" w:sz="2" w:space="0" w:color="181717"/>
              <w:right w:val="single" w:sz="2" w:space="0" w:color="181717"/>
            </w:tcBorders>
            <w:vAlign w:val="center"/>
          </w:tcPr>
          <w:p w14:paraId="3F89792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c>
          <w:tcPr>
            <w:tcW w:w="1134" w:type="dxa"/>
            <w:tcBorders>
              <w:top w:val="single" w:sz="2" w:space="0" w:color="181717"/>
              <w:left w:val="single" w:sz="2" w:space="0" w:color="181717"/>
              <w:bottom w:val="single" w:sz="2" w:space="0" w:color="181717"/>
              <w:right w:val="single" w:sz="2" w:space="0" w:color="181717"/>
            </w:tcBorders>
            <w:vAlign w:val="center"/>
          </w:tcPr>
          <w:p w14:paraId="17F9D23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r>
      <w:tr w:rsidR="00F956CB" w:rsidRPr="00D7370E" w14:paraId="20B51091"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2A57D25C"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lastRenderedPageBreak/>
              <w:t>COGSQO-09</w:t>
            </w:r>
            <w:r w:rsidRPr="00D7370E">
              <w:rPr>
                <w:rFonts w:asciiTheme="minorHAnsi" w:hAnsiTheme="minorHAnsi" w:cstheme="minorHAnsi"/>
                <w:szCs w:val="20"/>
              </w:rPr>
              <w:br w:type="page"/>
            </w:r>
          </w:p>
        </w:tc>
        <w:tc>
          <w:tcPr>
            <w:tcW w:w="6378" w:type="dxa"/>
            <w:tcBorders>
              <w:top w:val="single" w:sz="2" w:space="0" w:color="181717"/>
              <w:left w:val="single" w:sz="2" w:space="0" w:color="181717"/>
              <w:bottom w:val="single" w:sz="2" w:space="0" w:color="181717"/>
              <w:right w:val="single" w:sz="2" w:space="0" w:color="181717"/>
            </w:tcBorders>
          </w:tcPr>
          <w:p w14:paraId="062DD3A4"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Maintain and improve quality documentation and processes for science or technology-based industries</w:t>
            </w:r>
          </w:p>
        </w:tc>
        <w:tc>
          <w:tcPr>
            <w:tcW w:w="993" w:type="dxa"/>
            <w:tcBorders>
              <w:top w:val="single" w:sz="2" w:space="0" w:color="181717"/>
              <w:left w:val="single" w:sz="2" w:space="0" w:color="181717"/>
              <w:bottom w:val="single" w:sz="2" w:space="0" w:color="181717"/>
              <w:right w:val="single" w:sz="2" w:space="0" w:color="181717"/>
            </w:tcBorders>
            <w:vAlign w:val="center"/>
          </w:tcPr>
          <w:p w14:paraId="271CE13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19F9D6E0"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4</w:t>
            </w:r>
          </w:p>
        </w:tc>
      </w:tr>
      <w:tr w:rsidR="00F956CB" w:rsidRPr="00D7370E" w14:paraId="1E4D84B5"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5D493F33"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COGLS9</w:t>
            </w:r>
          </w:p>
        </w:tc>
        <w:tc>
          <w:tcPr>
            <w:tcW w:w="6378" w:type="dxa"/>
            <w:tcBorders>
              <w:top w:val="single" w:sz="2" w:space="0" w:color="181717"/>
              <w:left w:val="single" w:sz="2" w:space="0" w:color="181717"/>
              <w:bottom w:val="single" w:sz="2" w:space="0" w:color="181717"/>
              <w:right w:val="single" w:sz="2" w:space="0" w:color="181717"/>
            </w:tcBorders>
          </w:tcPr>
          <w:p w14:paraId="5E0A6E07"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Make presentations for life sciences related work</w:t>
            </w:r>
            <w:r w:rsidRPr="00D7370E">
              <w:rPr>
                <w:rFonts w:asciiTheme="minorHAnsi" w:hAnsiTheme="minorHAnsi" w:cstheme="minorHAnsi"/>
                <w:szCs w:val="20"/>
              </w:rPr>
              <w:br/>
              <w:t>activities</w:t>
            </w:r>
          </w:p>
        </w:tc>
        <w:tc>
          <w:tcPr>
            <w:tcW w:w="993" w:type="dxa"/>
            <w:tcBorders>
              <w:top w:val="single" w:sz="2" w:space="0" w:color="181717"/>
              <w:left w:val="single" w:sz="2" w:space="0" w:color="181717"/>
              <w:bottom w:val="single" w:sz="2" w:space="0" w:color="181717"/>
              <w:right w:val="single" w:sz="2" w:space="0" w:color="181717"/>
            </w:tcBorders>
            <w:vAlign w:val="center"/>
          </w:tcPr>
          <w:p w14:paraId="512BEEF7"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1D7B4D34"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r>
      <w:tr w:rsidR="00F956CB" w:rsidRPr="00D7370E" w14:paraId="25BB0460"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1EE8CBCD"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COGREG-02</w:t>
            </w:r>
          </w:p>
        </w:tc>
        <w:tc>
          <w:tcPr>
            <w:tcW w:w="6378" w:type="dxa"/>
            <w:tcBorders>
              <w:top w:val="single" w:sz="2" w:space="0" w:color="181717"/>
              <w:left w:val="single" w:sz="2" w:space="0" w:color="181717"/>
              <w:bottom w:val="single" w:sz="2" w:space="0" w:color="181717"/>
              <w:right w:val="single" w:sz="2" w:space="0" w:color="181717"/>
            </w:tcBorders>
          </w:tcPr>
          <w:p w14:paraId="63DF4C37"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Analyse audits and inspections to ensure compliance to regulations in a Life Science Environment</w:t>
            </w:r>
          </w:p>
        </w:tc>
        <w:tc>
          <w:tcPr>
            <w:tcW w:w="993" w:type="dxa"/>
            <w:tcBorders>
              <w:top w:val="single" w:sz="2" w:space="0" w:color="181717"/>
              <w:left w:val="single" w:sz="2" w:space="0" w:color="181717"/>
              <w:bottom w:val="single" w:sz="2" w:space="0" w:color="181717"/>
              <w:right w:val="single" w:sz="2" w:space="0" w:color="181717"/>
            </w:tcBorders>
            <w:vAlign w:val="center"/>
          </w:tcPr>
          <w:p w14:paraId="087BC48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0F2F5420"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6</w:t>
            </w:r>
          </w:p>
        </w:tc>
      </w:tr>
      <w:tr w:rsidR="00F956CB" w:rsidRPr="00D7370E" w14:paraId="263B5D7D"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12A3ABEC"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COGREG-05</w:t>
            </w:r>
          </w:p>
        </w:tc>
        <w:tc>
          <w:tcPr>
            <w:tcW w:w="6378" w:type="dxa"/>
            <w:tcBorders>
              <w:top w:val="single" w:sz="2" w:space="0" w:color="181717"/>
              <w:left w:val="single" w:sz="2" w:space="0" w:color="181717"/>
              <w:bottom w:val="single" w:sz="2" w:space="0" w:color="181717"/>
              <w:right w:val="single" w:sz="2" w:space="0" w:color="181717"/>
            </w:tcBorders>
          </w:tcPr>
          <w:p w14:paraId="2C07366E"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 xml:space="preserve">Gather, </w:t>
            </w:r>
            <w:proofErr w:type="gramStart"/>
            <w:r w:rsidRPr="00D7370E">
              <w:rPr>
                <w:rFonts w:asciiTheme="minorHAnsi" w:hAnsiTheme="minorHAnsi" w:cstheme="minorHAnsi"/>
                <w:szCs w:val="20"/>
              </w:rPr>
              <w:t>collate</w:t>
            </w:r>
            <w:proofErr w:type="gramEnd"/>
            <w:r w:rsidRPr="00D7370E">
              <w:rPr>
                <w:rFonts w:asciiTheme="minorHAnsi" w:hAnsiTheme="minorHAnsi" w:cstheme="minorHAnsi"/>
                <w:szCs w:val="20"/>
              </w:rPr>
              <w:t xml:space="preserve"> and provide information &amp; guidance to meet organisational compliance </w:t>
            </w:r>
          </w:p>
        </w:tc>
        <w:tc>
          <w:tcPr>
            <w:tcW w:w="993" w:type="dxa"/>
            <w:tcBorders>
              <w:top w:val="single" w:sz="2" w:space="0" w:color="181717"/>
              <w:left w:val="single" w:sz="2" w:space="0" w:color="181717"/>
              <w:bottom w:val="single" w:sz="2" w:space="0" w:color="181717"/>
              <w:right w:val="single" w:sz="2" w:space="0" w:color="181717"/>
            </w:tcBorders>
            <w:vAlign w:val="center"/>
          </w:tcPr>
          <w:p w14:paraId="2BBFEE8E"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7D2F9A32"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7</w:t>
            </w:r>
          </w:p>
        </w:tc>
      </w:tr>
      <w:tr w:rsidR="00F956CB" w:rsidRPr="00D7370E" w14:paraId="68C2FEF9" w14:textId="77777777" w:rsidTr="00F956CB">
        <w:trPr>
          <w:trHeight w:val="310"/>
        </w:trPr>
        <w:tc>
          <w:tcPr>
            <w:tcW w:w="1702" w:type="dxa"/>
            <w:tcBorders>
              <w:top w:val="single" w:sz="2" w:space="0" w:color="181717"/>
              <w:left w:val="single" w:sz="2" w:space="0" w:color="181717"/>
              <w:bottom w:val="single" w:sz="2" w:space="0" w:color="181717"/>
              <w:right w:val="single" w:sz="2" w:space="0" w:color="181717"/>
            </w:tcBorders>
          </w:tcPr>
          <w:p w14:paraId="4E7E387C" w14:textId="77777777" w:rsidR="00F956CB" w:rsidRPr="00D7370E" w:rsidRDefault="00F956CB" w:rsidP="00C90961">
            <w:pPr>
              <w:spacing w:after="0" w:line="259" w:lineRule="auto"/>
              <w:ind w:left="0" w:right="1" w:firstLine="0"/>
              <w:rPr>
                <w:rFonts w:asciiTheme="minorHAnsi" w:hAnsiTheme="minorHAnsi" w:cstheme="minorHAnsi"/>
                <w:color w:val="auto"/>
                <w:szCs w:val="20"/>
              </w:rPr>
            </w:pPr>
            <w:r w:rsidRPr="00D7370E">
              <w:rPr>
                <w:rFonts w:asciiTheme="minorHAnsi" w:hAnsiTheme="minorHAnsi" w:cstheme="minorHAnsi"/>
                <w:szCs w:val="20"/>
              </w:rPr>
              <w:t>COGREG-06</w:t>
            </w:r>
          </w:p>
        </w:tc>
        <w:tc>
          <w:tcPr>
            <w:tcW w:w="6378" w:type="dxa"/>
            <w:tcBorders>
              <w:top w:val="single" w:sz="2" w:space="0" w:color="181717"/>
              <w:left w:val="single" w:sz="2" w:space="0" w:color="181717"/>
              <w:bottom w:val="single" w:sz="2" w:space="0" w:color="181717"/>
              <w:right w:val="single" w:sz="2" w:space="0" w:color="181717"/>
            </w:tcBorders>
          </w:tcPr>
          <w:p w14:paraId="5B49D01A" w14:textId="77777777" w:rsidR="00F956CB" w:rsidRPr="00D7370E" w:rsidRDefault="00F956CB" w:rsidP="00C90961">
            <w:pPr>
              <w:spacing w:after="0" w:line="259" w:lineRule="auto"/>
              <w:ind w:left="0" w:firstLine="0"/>
              <w:rPr>
                <w:rFonts w:asciiTheme="minorHAnsi" w:hAnsiTheme="minorHAnsi" w:cstheme="minorHAnsi"/>
                <w:color w:val="auto"/>
                <w:szCs w:val="20"/>
              </w:rPr>
            </w:pPr>
            <w:r w:rsidRPr="00D7370E">
              <w:rPr>
                <w:rFonts w:asciiTheme="minorHAnsi" w:hAnsiTheme="minorHAnsi" w:cstheme="minorHAnsi"/>
                <w:szCs w:val="20"/>
              </w:rPr>
              <w:t>Ensure compliance and respond to issues or deviation from standards or best practice in a Life Science Environment</w:t>
            </w:r>
          </w:p>
        </w:tc>
        <w:tc>
          <w:tcPr>
            <w:tcW w:w="993" w:type="dxa"/>
            <w:tcBorders>
              <w:top w:val="single" w:sz="2" w:space="0" w:color="181717"/>
              <w:left w:val="single" w:sz="2" w:space="0" w:color="181717"/>
              <w:bottom w:val="single" w:sz="2" w:space="0" w:color="181717"/>
              <w:right w:val="single" w:sz="2" w:space="0" w:color="181717"/>
            </w:tcBorders>
            <w:vAlign w:val="center"/>
          </w:tcPr>
          <w:p w14:paraId="39C1543B"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c>
          <w:tcPr>
            <w:tcW w:w="1134" w:type="dxa"/>
            <w:tcBorders>
              <w:top w:val="single" w:sz="2" w:space="0" w:color="181717"/>
              <w:left w:val="single" w:sz="2" w:space="0" w:color="181717"/>
              <w:bottom w:val="single" w:sz="2" w:space="0" w:color="181717"/>
              <w:right w:val="single" w:sz="2" w:space="0" w:color="181717"/>
            </w:tcBorders>
            <w:vAlign w:val="center"/>
          </w:tcPr>
          <w:p w14:paraId="48C92CA8" w14:textId="77777777" w:rsidR="00F956CB" w:rsidRPr="00D7370E" w:rsidRDefault="00F956CB" w:rsidP="00C90961">
            <w:pPr>
              <w:spacing w:after="0" w:line="259" w:lineRule="auto"/>
              <w:ind w:left="0" w:firstLine="0"/>
              <w:jc w:val="center"/>
              <w:rPr>
                <w:rFonts w:asciiTheme="minorHAnsi" w:hAnsiTheme="minorHAnsi" w:cstheme="minorHAnsi"/>
                <w:color w:val="auto"/>
                <w:szCs w:val="20"/>
              </w:rPr>
            </w:pPr>
            <w:r w:rsidRPr="00D7370E">
              <w:rPr>
                <w:rFonts w:asciiTheme="minorHAnsi" w:hAnsiTheme="minorHAnsi" w:cstheme="minorHAnsi"/>
                <w:szCs w:val="20"/>
              </w:rPr>
              <w:t>8</w:t>
            </w:r>
          </w:p>
        </w:tc>
      </w:tr>
    </w:tbl>
    <w:p w14:paraId="0D415ABF" w14:textId="77777777" w:rsidR="00F956CB" w:rsidRDefault="00F956CB" w:rsidP="00C80E2B">
      <w:pPr>
        <w:pStyle w:val="Heading1"/>
      </w:pPr>
    </w:p>
    <w:p w14:paraId="232CBFB5" w14:textId="04E2D63B" w:rsidR="00530347" w:rsidRPr="00A06828" w:rsidRDefault="00C438DF" w:rsidP="00C80E2B">
      <w:pPr>
        <w:pStyle w:val="Heading1"/>
      </w:pPr>
      <w:r w:rsidRPr="00A06828">
        <w:t xml:space="preserve">Assessment  </w:t>
      </w:r>
    </w:p>
    <w:p w14:paraId="553BA0BE" w14:textId="77777777" w:rsidR="009C46BB" w:rsidRPr="00C80E2B" w:rsidRDefault="00C438DF" w:rsidP="00326F15">
      <w:pPr>
        <w:pStyle w:val="mainbody"/>
        <w:rPr>
          <w:rFonts w:cstheme="minorHAnsi"/>
          <w:sz w:val="20"/>
        </w:rPr>
      </w:pPr>
      <w:r w:rsidRPr="00C80E2B">
        <w:rPr>
          <w:rFonts w:cstheme="minorHAnsi"/>
          <w:sz w:val="20"/>
        </w:rPr>
        <w:t>The qualification must be assessed using the following assessment method:</w:t>
      </w:r>
    </w:p>
    <w:p w14:paraId="56FC0C1D" w14:textId="457037AD" w:rsidR="003A525B" w:rsidRDefault="004609F4" w:rsidP="004609F4">
      <w:pPr>
        <w:pStyle w:val="mainbody"/>
        <w:numPr>
          <w:ilvl w:val="0"/>
          <w:numId w:val="8"/>
        </w:numPr>
        <w:rPr>
          <w:rFonts w:cstheme="minorHAnsi"/>
          <w:sz w:val="20"/>
        </w:rPr>
      </w:pPr>
      <w:r w:rsidRPr="00C80E2B">
        <w:rPr>
          <w:rFonts w:cstheme="minorHAnsi"/>
          <w:sz w:val="20"/>
        </w:rPr>
        <w:t>Portfolio of Evidence</w:t>
      </w:r>
    </w:p>
    <w:p w14:paraId="3E2255BB" w14:textId="77777777" w:rsidR="0036519F" w:rsidRDefault="0036519F" w:rsidP="00326F15">
      <w:pPr>
        <w:pStyle w:val="mainbody"/>
        <w:rPr>
          <w:rFonts w:cstheme="minorHAnsi"/>
          <w:sz w:val="20"/>
        </w:rPr>
      </w:pPr>
    </w:p>
    <w:p w14:paraId="34855A48" w14:textId="6AD66660" w:rsidR="00530347" w:rsidRPr="00C80E2B" w:rsidRDefault="009C46BB" w:rsidP="00326F15">
      <w:pPr>
        <w:pStyle w:val="mainbody"/>
        <w:rPr>
          <w:sz w:val="20"/>
        </w:rPr>
      </w:pPr>
      <w:r w:rsidRPr="00C80E2B">
        <w:rPr>
          <w:rFonts w:cstheme="minorHAnsi"/>
          <w:sz w:val="20"/>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C80E2B">
        <w:rPr>
          <w:sz w:val="20"/>
        </w:rPr>
        <w:t xml:space="preserve"> centres is provided by GQA Qualifications. </w:t>
      </w:r>
    </w:p>
    <w:sectPr w:rsidR="00530347" w:rsidRPr="00C80E2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BDF4" w14:textId="77777777" w:rsidR="00B43D5C" w:rsidRDefault="00B43D5C">
      <w:pPr>
        <w:spacing w:after="0" w:line="240" w:lineRule="auto"/>
      </w:pPr>
      <w:r>
        <w:separator/>
      </w:r>
    </w:p>
  </w:endnote>
  <w:endnote w:type="continuationSeparator" w:id="0">
    <w:p w14:paraId="32BEDBA9" w14:textId="77777777" w:rsidR="00B43D5C" w:rsidRDefault="00B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0AE2" w14:textId="77777777" w:rsidR="00B43D5C" w:rsidRDefault="00B43D5C">
      <w:pPr>
        <w:spacing w:after="0" w:line="240" w:lineRule="auto"/>
      </w:pPr>
      <w:r>
        <w:separator/>
      </w:r>
    </w:p>
  </w:footnote>
  <w:footnote w:type="continuationSeparator" w:id="0">
    <w:p w14:paraId="79188787" w14:textId="77777777" w:rsidR="00B43D5C" w:rsidRDefault="00B4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127B"/>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A3F70"/>
    <w:rsid w:val="001B4B75"/>
    <w:rsid w:val="001B7284"/>
    <w:rsid w:val="001C3C8C"/>
    <w:rsid w:val="001C5460"/>
    <w:rsid w:val="001C7023"/>
    <w:rsid w:val="001C7890"/>
    <w:rsid w:val="001D12BE"/>
    <w:rsid w:val="001D3977"/>
    <w:rsid w:val="001D57FF"/>
    <w:rsid w:val="001E2780"/>
    <w:rsid w:val="001E343D"/>
    <w:rsid w:val="001E41BE"/>
    <w:rsid w:val="001E7791"/>
    <w:rsid w:val="001F17A7"/>
    <w:rsid w:val="001F4649"/>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D6811"/>
    <w:rsid w:val="002E259E"/>
    <w:rsid w:val="002E545C"/>
    <w:rsid w:val="002E63BE"/>
    <w:rsid w:val="002E6BA4"/>
    <w:rsid w:val="002F0F84"/>
    <w:rsid w:val="002F72DF"/>
    <w:rsid w:val="00301812"/>
    <w:rsid w:val="00302D22"/>
    <w:rsid w:val="00307ABA"/>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19F"/>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2F37"/>
    <w:rsid w:val="005E47C4"/>
    <w:rsid w:val="005F051A"/>
    <w:rsid w:val="005F053E"/>
    <w:rsid w:val="005F0E9B"/>
    <w:rsid w:val="005F439D"/>
    <w:rsid w:val="005F48DA"/>
    <w:rsid w:val="005F7ABF"/>
    <w:rsid w:val="00607C22"/>
    <w:rsid w:val="00612BD4"/>
    <w:rsid w:val="00624F4B"/>
    <w:rsid w:val="006305EC"/>
    <w:rsid w:val="00631A6D"/>
    <w:rsid w:val="006441BA"/>
    <w:rsid w:val="00645B58"/>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5A5A"/>
    <w:rsid w:val="006A6792"/>
    <w:rsid w:val="006B1EB7"/>
    <w:rsid w:val="006B30C6"/>
    <w:rsid w:val="006B481B"/>
    <w:rsid w:val="006B57C0"/>
    <w:rsid w:val="006B5A69"/>
    <w:rsid w:val="006B65DB"/>
    <w:rsid w:val="006B684F"/>
    <w:rsid w:val="006C7217"/>
    <w:rsid w:val="006D0971"/>
    <w:rsid w:val="006D3D80"/>
    <w:rsid w:val="006D4B71"/>
    <w:rsid w:val="006D4F34"/>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55C4"/>
    <w:rsid w:val="00877149"/>
    <w:rsid w:val="008776FA"/>
    <w:rsid w:val="00877C2B"/>
    <w:rsid w:val="00880070"/>
    <w:rsid w:val="0088470B"/>
    <w:rsid w:val="00884967"/>
    <w:rsid w:val="008B33EB"/>
    <w:rsid w:val="008B3D57"/>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4280"/>
    <w:rsid w:val="00966218"/>
    <w:rsid w:val="00972840"/>
    <w:rsid w:val="00973AAB"/>
    <w:rsid w:val="009757A2"/>
    <w:rsid w:val="00975FA7"/>
    <w:rsid w:val="00981BDE"/>
    <w:rsid w:val="00983A3F"/>
    <w:rsid w:val="00984138"/>
    <w:rsid w:val="00986D5C"/>
    <w:rsid w:val="00987034"/>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6521"/>
    <w:rsid w:val="00A01E94"/>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2B1"/>
    <w:rsid w:val="00B51435"/>
    <w:rsid w:val="00B52FB4"/>
    <w:rsid w:val="00B55EE1"/>
    <w:rsid w:val="00B8023C"/>
    <w:rsid w:val="00B92666"/>
    <w:rsid w:val="00B92979"/>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071A"/>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0E2B"/>
    <w:rsid w:val="00C82A6E"/>
    <w:rsid w:val="00C87A67"/>
    <w:rsid w:val="00C9183D"/>
    <w:rsid w:val="00C91FAB"/>
    <w:rsid w:val="00C94C15"/>
    <w:rsid w:val="00C95428"/>
    <w:rsid w:val="00CA4318"/>
    <w:rsid w:val="00CA49F9"/>
    <w:rsid w:val="00CA63EA"/>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46EE8"/>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00FA2"/>
    <w:rsid w:val="00F02FF4"/>
    <w:rsid w:val="00F16AA9"/>
    <w:rsid w:val="00F172D2"/>
    <w:rsid w:val="00F212B4"/>
    <w:rsid w:val="00F24CC7"/>
    <w:rsid w:val="00F30676"/>
    <w:rsid w:val="00F30A63"/>
    <w:rsid w:val="00F357BB"/>
    <w:rsid w:val="00F373B2"/>
    <w:rsid w:val="00F45362"/>
    <w:rsid w:val="00F50FA9"/>
    <w:rsid w:val="00F57B70"/>
    <w:rsid w:val="00F666D8"/>
    <w:rsid w:val="00F72B60"/>
    <w:rsid w:val="00F74BD5"/>
    <w:rsid w:val="00F77DDA"/>
    <w:rsid w:val="00F806E8"/>
    <w:rsid w:val="00F83B3C"/>
    <w:rsid w:val="00F84796"/>
    <w:rsid w:val="00F84C0D"/>
    <w:rsid w:val="00F8731F"/>
    <w:rsid w:val="00F956CB"/>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C80E2B"/>
    <w:pPr>
      <w:spacing w:after="0" w:line="360" w:lineRule="auto"/>
      <w:ind w:left="0" w:firstLine="0"/>
      <w:jc w:val="left"/>
      <w:outlineLvl w:val="0"/>
    </w:pPr>
    <w:rPr>
      <w:rFonts w:asciiTheme="minorHAnsi" w:hAnsiTheme="minorHAnsi" w:cs="Calibri"/>
      <w:b/>
      <w:noProof/>
      <w:color w:val="00B050"/>
      <w:sz w:val="22"/>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C80E2B"/>
    <w:rPr>
      <w:rFonts w:asciiTheme="minorHAnsi" w:eastAsia="Verdana" w:hAnsiTheme="minorHAnsi" w:cs="Calibri"/>
      <w:b/>
      <w:noProof/>
      <w:color w:val="00B0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 w:type="paragraph" w:styleId="NoSpacing">
    <w:name w:val="No Spacing"/>
    <w:uiPriority w:val="1"/>
    <w:qFormat/>
    <w:rsid w:val="008776FA"/>
    <w:pPr>
      <w:spacing w:after="0" w:line="240" w:lineRule="auto"/>
      <w:ind w:left="17" w:hanging="10"/>
      <w:jc w:val="both"/>
    </w:pPr>
    <w:rPr>
      <w:rFonts w:ascii="Verdana" w:eastAsia="Verdana" w:hAnsi="Verdana" w:cs="Verdana"/>
      <w:color w:val="000000"/>
      <w:sz w:val="20"/>
    </w:rPr>
  </w:style>
  <w:style w:type="table" w:customStyle="1" w:styleId="TableGrid1">
    <w:name w:val="TableGrid1"/>
    <w:rsid w:val="00F956CB"/>
    <w:pPr>
      <w:spacing w:after="0" w:line="240" w:lineRule="auto"/>
    </w:pPr>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68486190">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693120413">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768430929">
      <w:bodyDiv w:val="1"/>
      <w:marLeft w:val="0"/>
      <w:marRight w:val="0"/>
      <w:marTop w:val="0"/>
      <w:marBottom w:val="0"/>
      <w:divBdr>
        <w:top w:val="none" w:sz="0" w:space="0" w:color="auto"/>
        <w:left w:val="none" w:sz="0" w:space="0" w:color="auto"/>
        <w:bottom w:val="none" w:sz="0" w:space="0" w:color="auto"/>
        <w:right w:val="none" w:sz="0" w:space="0" w:color="auto"/>
      </w:divBdr>
    </w:div>
    <w:div w:id="867644548">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99811893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373072000">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 w:id="213918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2024-02-01T15:41:00Z</dcterms:created>
  <dcterms:modified xsi:type="dcterms:W3CDTF">2024-02-01T15:41:00Z</dcterms:modified>
</cp:coreProperties>
</file>