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B7B5" w14:textId="4ADFCCA1" w:rsidR="00131996" w:rsidRDefault="00131996" w:rsidP="00131996">
      <w:pPr>
        <w:pStyle w:val="Heading"/>
        <w:jc w:val="center"/>
      </w:pPr>
      <w:r w:rsidRPr="00131996">
        <w:t>Qualification Specification</w:t>
      </w:r>
    </w:p>
    <w:p w14:paraId="4CF48661" w14:textId="74EF042F" w:rsidR="00382AEA" w:rsidRDefault="00CD7B9B" w:rsidP="00382AEA">
      <w:pPr>
        <w:pStyle w:val="Heading"/>
        <w:jc w:val="center"/>
      </w:pPr>
      <w:r w:rsidRPr="00CD7B9B">
        <w:t>GQA Level 4 Diploma in Retrofit Assessor</w:t>
      </w:r>
    </w:p>
    <w:p w14:paraId="4AE1BD92" w14:textId="3C6CD817" w:rsidR="00131996" w:rsidRDefault="0027141B" w:rsidP="00382AEA">
      <w:pPr>
        <w:pStyle w:val="Heading"/>
        <w:jc w:val="center"/>
      </w:pPr>
      <w:r w:rsidRPr="0027141B">
        <w:t>Qualification Number</w:t>
      </w:r>
      <w:r w:rsidR="00C438DF">
        <w:t xml:space="preserve">: </w:t>
      </w:r>
      <w:r w:rsidR="00CD7B9B" w:rsidRPr="00CD7B9B">
        <w:t>610/4729/6</w:t>
      </w:r>
    </w:p>
    <w:p w14:paraId="4D89E150" w14:textId="35C8FDD2" w:rsidR="00530347" w:rsidRPr="00D80D05" w:rsidRDefault="00C438DF" w:rsidP="009C46BB">
      <w:pPr>
        <w:pStyle w:val="Heading1"/>
      </w:pPr>
      <w:r w:rsidRPr="00D80D05">
        <w:t xml:space="preserve">Who is this qualification for? </w:t>
      </w:r>
    </w:p>
    <w:p w14:paraId="73EFC4C7" w14:textId="77777777" w:rsidR="00134063" w:rsidRDefault="00CD7B9B" w:rsidP="00134063">
      <w:pPr>
        <w:spacing w:before="120" w:after="120"/>
        <w:ind w:left="0"/>
        <w:rPr>
          <w:rFonts w:asciiTheme="minorHAnsi" w:hAnsiTheme="minorHAnsi" w:cstheme="minorHAnsi"/>
        </w:rPr>
      </w:pPr>
      <w:bookmarkStart w:id="0" w:name="_Hlk178231500"/>
      <w:r w:rsidRPr="00382AEA">
        <w:rPr>
          <w:rFonts w:asciiTheme="minorHAnsi" w:hAnsiTheme="minorHAnsi" w:cstheme="minorHAnsi"/>
        </w:rPr>
        <w:t xml:space="preserve">This qualification is designed for professionals tasked with assessing existing dwellings for retrofit suitability. It provides comprehensive training to meet the standards set out in the current version of BS Assessment of dwellings for retrofit, PAS Retrofit Standards Framework, and current best practices in energy performance and ventilation. </w:t>
      </w:r>
    </w:p>
    <w:p w14:paraId="6A15A152" w14:textId="66FC30FA" w:rsidR="00CD7B9B" w:rsidRPr="00382AEA" w:rsidRDefault="00CD7B9B" w:rsidP="00134063">
      <w:pPr>
        <w:spacing w:before="120" w:after="120"/>
        <w:ind w:left="0"/>
        <w:rPr>
          <w:rFonts w:asciiTheme="minorHAnsi" w:hAnsiTheme="minorHAnsi" w:cstheme="minorHAnsi"/>
        </w:rPr>
      </w:pPr>
      <w:r w:rsidRPr="00382AEA">
        <w:rPr>
          <w:rFonts w:asciiTheme="minorHAnsi" w:hAnsiTheme="minorHAnsi" w:cstheme="minorHAnsi"/>
        </w:rPr>
        <w:t>This qualification is suitable for those currently holding a Level 3 Certificate in Domestic Energy Assessment (DEA)</w:t>
      </w:r>
    </w:p>
    <w:p w14:paraId="5ADAA8F2" w14:textId="77777777" w:rsidR="00CD7B9B" w:rsidRDefault="00CD7B9B" w:rsidP="00CD7B9B">
      <w:pPr>
        <w:pStyle w:val="ListParagraph"/>
        <w:spacing w:before="120" w:after="120"/>
      </w:pPr>
    </w:p>
    <w:p w14:paraId="119023CF" w14:textId="77777777" w:rsidR="00CD7B9B" w:rsidRDefault="00CD7B9B" w:rsidP="00CD7B9B">
      <w:pPr>
        <w:pStyle w:val="ListParagraph"/>
        <w:numPr>
          <w:ilvl w:val="0"/>
          <w:numId w:val="24"/>
        </w:numPr>
        <w:spacing w:before="120" w:after="120"/>
      </w:pPr>
      <w:r>
        <w:t>Understand the principles, requirements, and application in the current version of the BS Assessment of</w:t>
      </w:r>
      <w:r w:rsidRPr="00A01554">
        <w:t xml:space="preserve"> </w:t>
      </w:r>
      <w:r>
        <w:t>dwellings for retrofit and PAS Retrofit Standards Framework</w:t>
      </w:r>
    </w:p>
    <w:p w14:paraId="61BA7225" w14:textId="77777777" w:rsidR="00CD7B9B" w:rsidRDefault="00CD7B9B" w:rsidP="00CD7B9B">
      <w:pPr>
        <w:pStyle w:val="ListParagraph"/>
        <w:numPr>
          <w:ilvl w:val="0"/>
          <w:numId w:val="24"/>
        </w:numPr>
        <w:spacing w:before="120" w:after="120"/>
      </w:pPr>
      <w:r w:rsidRPr="00AF5695">
        <w:t>Evaluating and Reporting on Residential Properties, including Building Physics, Ventilation, and Retrofit Principles</w:t>
      </w:r>
      <w:r>
        <w:t>.</w:t>
      </w:r>
    </w:p>
    <w:p w14:paraId="48B9ED40" w14:textId="77777777" w:rsidR="00CD7B9B" w:rsidRDefault="00CD7B9B" w:rsidP="00CD7B9B">
      <w:pPr>
        <w:pStyle w:val="ListParagraph"/>
        <w:numPr>
          <w:ilvl w:val="0"/>
          <w:numId w:val="24"/>
        </w:numPr>
        <w:spacing w:before="120" w:after="120"/>
      </w:pPr>
      <w:r>
        <w:t xml:space="preserve">Mastering the </w:t>
      </w:r>
      <w:r w:rsidRPr="00AF5695">
        <w:t>Retrofit Assessment Techniques and</w:t>
      </w:r>
      <w:r>
        <w:t xml:space="preserve"> current version of the</w:t>
      </w:r>
      <w:r w:rsidRPr="00AF5695">
        <w:t xml:space="preserve"> PAS </w:t>
      </w:r>
      <w:r>
        <w:t>Retrofit Standards Framework</w:t>
      </w:r>
      <w:r w:rsidRPr="00AF5695">
        <w:t xml:space="preserve"> Compliance </w:t>
      </w:r>
      <w:r>
        <w:t>responsibilities</w:t>
      </w:r>
    </w:p>
    <w:p w14:paraId="2009A202" w14:textId="77777777" w:rsidR="0020180D" w:rsidRDefault="00CD7B9B" w:rsidP="00CD7B9B">
      <w:pPr>
        <w:pStyle w:val="ListParagraph"/>
        <w:numPr>
          <w:ilvl w:val="0"/>
          <w:numId w:val="24"/>
        </w:numPr>
        <w:spacing w:before="120" w:after="120"/>
      </w:pPr>
      <w:r>
        <w:t>Identify and manage risks associated with retrofit projects, ensuring compliance with relevant standards</w:t>
      </w:r>
    </w:p>
    <w:p w14:paraId="7866E2E7" w14:textId="30AE0BDB" w:rsidR="00CD7B9B" w:rsidRDefault="00CD7B9B" w:rsidP="00CD7B9B">
      <w:pPr>
        <w:pStyle w:val="ListParagraph"/>
        <w:numPr>
          <w:ilvl w:val="0"/>
          <w:numId w:val="24"/>
        </w:numPr>
        <w:spacing w:before="120" w:after="120"/>
      </w:pPr>
      <w:r>
        <w:t>Create effective retrofit plans that meet both regulatory and performance requirements.</w:t>
      </w:r>
    </w:p>
    <w:p w14:paraId="2570F1AB" w14:textId="77777777" w:rsidR="00CD7B9B" w:rsidRDefault="00CD7B9B" w:rsidP="00CD7B9B">
      <w:pPr>
        <w:pStyle w:val="BodyText"/>
      </w:pPr>
    </w:p>
    <w:p w14:paraId="10F85FD0" w14:textId="4FBAD948" w:rsidR="006515EA" w:rsidRPr="00A7687B" w:rsidRDefault="000F1642" w:rsidP="00DC4C7B">
      <w:pPr>
        <w:pStyle w:val="BodyText"/>
        <w:rPr>
          <w:b/>
        </w:rPr>
      </w:pPr>
      <w:r w:rsidRPr="00A7687B">
        <w:t xml:space="preserve">The qualification is at Level </w:t>
      </w:r>
      <w:r w:rsidR="00CD7B9B">
        <w:t>4</w:t>
      </w:r>
      <w:r w:rsidR="00134063">
        <w:t xml:space="preserve"> but </w:t>
      </w:r>
      <w:r w:rsidRPr="00A7687B">
        <w:t xml:space="preserve">has been developed in a way to allow employees from companies of all sizes and specialisms equal opportunity to complete. </w:t>
      </w:r>
    </w:p>
    <w:p w14:paraId="51FBD1E9" w14:textId="77777777" w:rsidR="00BB5373" w:rsidRPr="00A7687B" w:rsidRDefault="00BB5373" w:rsidP="00DC4C7B">
      <w:pPr>
        <w:pStyle w:val="BodyText"/>
      </w:pPr>
    </w:p>
    <w:bookmarkEnd w:id="0"/>
    <w:p w14:paraId="35AFC46B" w14:textId="11EFCC45" w:rsidR="000F1642" w:rsidRPr="00A7687B" w:rsidRDefault="006515EA" w:rsidP="00DC4C7B">
      <w:pPr>
        <w:pStyle w:val="BodyText"/>
        <w:rPr>
          <w:b/>
        </w:rPr>
      </w:pPr>
      <w:r w:rsidRPr="00A7687B">
        <w:t>T</w:t>
      </w:r>
      <w:r w:rsidR="000F1642" w:rsidRPr="00A7687B">
        <w:t>here is a suite of other construction specific qualifications in a wide range of occupations available through GQA.</w:t>
      </w:r>
    </w:p>
    <w:p w14:paraId="4D80E695" w14:textId="77777777" w:rsidR="00BB5373" w:rsidRPr="00A7687B" w:rsidRDefault="00BB5373" w:rsidP="00BB5373">
      <w:pPr>
        <w:rPr>
          <w:szCs w:val="20"/>
        </w:rPr>
      </w:pPr>
    </w:p>
    <w:p w14:paraId="2CC288D4" w14:textId="208F54AA" w:rsidR="00530347" w:rsidRPr="00FE639E" w:rsidRDefault="00C438DF" w:rsidP="007A52B3">
      <w:pPr>
        <w:pStyle w:val="Heading1"/>
      </w:pPr>
      <w:r w:rsidRPr="00FE639E">
        <w:t xml:space="preserve">Entry requirements </w:t>
      </w:r>
    </w:p>
    <w:p w14:paraId="2A480AF1" w14:textId="6D8095C5" w:rsidR="00A7687B" w:rsidRPr="00134063" w:rsidRDefault="000F1642" w:rsidP="00134063">
      <w:pPr>
        <w:pStyle w:val="NoSpacing"/>
        <w:rPr>
          <w:rStyle w:val="mainbodyChar"/>
          <w:rFonts w:eastAsia="Verdana"/>
        </w:rPr>
      </w:pPr>
      <w:r w:rsidRPr="00382AEA">
        <w:rPr>
          <w:rFonts w:asciiTheme="minorHAnsi" w:hAnsiTheme="minorHAnsi"/>
          <w:szCs w:val="20"/>
        </w:rPr>
        <w:t>T</w:t>
      </w:r>
      <w:r w:rsidR="00C438DF" w:rsidRPr="00382AEA">
        <w:rPr>
          <w:rFonts w:asciiTheme="minorHAnsi" w:hAnsiTheme="minorHAnsi"/>
          <w:szCs w:val="20"/>
        </w:rPr>
        <w:t>he</w:t>
      </w:r>
      <w:r w:rsidR="00382AEA" w:rsidRPr="00382AEA">
        <w:rPr>
          <w:rFonts w:asciiTheme="minorHAnsi" w:hAnsiTheme="minorHAnsi"/>
          <w:szCs w:val="20"/>
        </w:rPr>
        <w:t xml:space="preserve"> entry requirements fo</w:t>
      </w:r>
      <w:r w:rsidR="00382AEA">
        <w:rPr>
          <w:rFonts w:asciiTheme="minorHAnsi" w:hAnsiTheme="minorHAnsi"/>
          <w:szCs w:val="20"/>
        </w:rPr>
        <w:t>r</w:t>
      </w:r>
      <w:r w:rsidR="00382AEA" w:rsidRPr="00382AEA">
        <w:rPr>
          <w:rFonts w:asciiTheme="minorHAnsi" w:hAnsiTheme="minorHAnsi"/>
          <w:szCs w:val="20"/>
        </w:rPr>
        <w:t xml:space="preserve"> this qualification is that learners must have completed the Level 3</w:t>
      </w:r>
      <w:r w:rsidR="00134063">
        <w:rPr>
          <w:rFonts w:asciiTheme="minorHAnsi" w:hAnsiTheme="minorHAnsi"/>
          <w:szCs w:val="20"/>
        </w:rPr>
        <w:t xml:space="preserve"> </w:t>
      </w:r>
      <w:r w:rsidR="00382AEA" w:rsidRPr="00134063">
        <w:rPr>
          <w:rStyle w:val="mainbodyChar"/>
          <w:rFonts w:eastAsia="Verdana"/>
        </w:rPr>
        <w:t>Certificate in Domestic Energy Assessment</w:t>
      </w:r>
      <w:r w:rsidR="00134063">
        <w:rPr>
          <w:rStyle w:val="mainbodyChar"/>
          <w:rFonts w:eastAsia="Verdana"/>
        </w:rPr>
        <w:t>.</w:t>
      </w:r>
    </w:p>
    <w:p w14:paraId="47C5FBA7" w14:textId="77777777" w:rsidR="00382AEA" w:rsidRDefault="00382AEA" w:rsidP="009C46BB">
      <w:pPr>
        <w:pStyle w:val="Heading1"/>
      </w:pPr>
    </w:p>
    <w:p w14:paraId="07BD6043" w14:textId="6D0DDC36" w:rsidR="00530347" w:rsidRDefault="00C438DF" w:rsidP="009C46BB">
      <w:pPr>
        <w:pStyle w:val="Heading1"/>
      </w:pPr>
      <w:r w:rsidRPr="00D80D05">
        <w:t xml:space="preserve">Regulatory information </w:t>
      </w:r>
    </w:p>
    <w:tbl>
      <w:tblPr>
        <w:tblStyle w:val="TableGrid"/>
        <w:tblW w:w="9682" w:type="dxa"/>
        <w:tblInd w:w="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top w:w="56" w:type="dxa"/>
          <w:left w:w="110" w:type="dxa"/>
          <w:right w:w="15" w:type="dxa"/>
        </w:tblCellMar>
        <w:tblLook w:val="04A0" w:firstRow="1" w:lastRow="0" w:firstColumn="1" w:lastColumn="0" w:noHBand="0" w:noVBand="1"/>
      </w:tblPr>
      <w:tblGrid>
        <w:gridCol w:w="4841"/>
        <w:gridCol w:w="4841"/>
      </w:tblGrid>
      <w:tr w:rsidR="00530347" w14:paraId="2AB75A33" w14:textId="77777777" w:rsidTr="00B06065">
        <w:trPr>
          <w:trHeight w:val="397"/>
        </w:trPr>
        <w:tc>
          <w:tcPr>
            <w:tcW w:w="4841" w:type="dxa"/>
            <w:vAlign w:val="center"/>
          </w:tcPr>
          <w:p w14:paraId="0722AC0E" w14:textId="77777777" w:rsidR="00530347" w:rsidRPr="00382AEA" w:rsidRDefault="00C438DF" w:rsidP="00326F15">
            <w:pPr>
              <w:pStyle w:val="mainbody"/>
              <w:rPr>
                <w:sz w:val="20"/>
              </w:rPr>
            </w:pPr>
            <w:r w:rsidRPr="00382AEA">
              <w:rPr>
                <w:sz w:val="20"/>
              </w:rPr>
              <w:t xml:space="preserve">Countries offered in:   </w:t>
            </w:r>
          </w:p>
        </w:tc>
        <w:tc>
          <w:tcPr>
            <w:tcW w:w="4841" w:type="dxa"/>
            <w:vAlign w:val="center"/>
          </w:tcPr>
          <w:p w14:paraId="582F5406" w14:textId="460D3E4E" w:rsidR="00530347" w:rsidRPr="00382AEA" w:rsidRDefault="00C438DF" w:rsidP="00326F15">
            <w:pPr>
              <w:pStyle w:val="mainbody"/>
              <w:rPr>
                <w:sz w:val="20"/>
              </w:rPr>
            </w:pPr>
            <w:r w:rsidRPr="00382AEA">
              <w:rPr>
                <w:sz w:val="20"/>
              </w:rPr>
              <w:t>England</w:t>
            </w:r>
            <w:r w:rsidR="000F1168" w:rsidRPr="00382AEA">
              <w:rPr>
                <w:sz w:val="20"/>
              </w:rPr>
              <w:t xml:space="preserve">, </w:t>
            </w:r>
            <w:r w:rsidR="00EB6591" w:rsidRPr="00382AEA">
              <w:rPr>
                <w:sz w:val="20"/>
              </w:rPr>
              <w:t>N. Ireland</w:t>
            </w:r>
            <w:r w:rsidR="005E1BAB" w:rsidRPr="00382AEA">
              <w:rPr>
                <w:sz w:val="20"/>
              </w:rPr>
              <w:t xml:space="preserve"> </w:t>
            </w:r>
          </w:p>
        </w:tc>
      </w:tr>
      <w:tr w:rsidR="00530347" w14:paraId="754133B7" w14:textId="77777777" w:rsidTr="00B06065">
        <w:trPr>
          <w:trHeight w:val="397"/>
        </w:trPr>
        <w:tc>
          <w:tcPr>
            <w:tcW w:w="4841" w:type="dxa"/>
            <w:vAlign w:val="center"/>
          </w:tcPr>
          <w:p w14:paraId="570C1F35" w14:textId="77777777" w:rsidR="00530347" w:rsidRPr="00382AEA" w:rsidRDefault="00FE639E" w:rsidP="00326F15">
            <w:pPr>
              <w:pStyle w:val="mainbody"/>
              <w:rPr>
                <w:sz w:val="20"/>
              </w:rPr>
            </w:pPr>
            <w:r w:rsidRPr="00382AEA">
              <w:rPr>
                <w:sz w:val="20"/>
              </w:rPr>
              <w:t>Qualification type:</w:t>
            </w:r>
          </w:p>
        </w:tc>
        <w:tc>
          <w:tcPr>
            <w:tcW w:w="4841" w:type="dxa"/>
            <w:vAlign w:val="center"/>
          </w:tcPr>
          <w:p w14:paraId="07161571" w14:textId="4EFB6D87" w:rsidR="00530347" w:rsidRPr="00382AEA" w:rsidRDefault="006515EA" w:rsidP="00326F15">
            <w:pPr>
              <w:pStyle w:val="mainbody"/>
              <w:rPr>
                <w:sz w:val="20"/>
              </w:rPr>
            </w:pPr>
            <w:r w:rsidRPr="00382AEA">
              <w:rPr>
                <w:sz w:val="20"/>
              </w:rPr>
              <w:t>Occupational</w:t>
            </w:r>
            <w:r w:rsidR="00EB6591" w:rsidRPr="00382AEA">
              <w:rPr>
                <w:sz w:val="20"/>
              </w:rPr>
              <w:t xml:space="preserve"> q</w:t>
            </w:r>
            <w:r w:rsidR="00A55E01" w:rsidRPr="00382AEA">
              <w:rPr>
                <w:sz w:val="20"/>
              </w:rPr>
              <w:t>ualification</w:t>
            </w:r>
          </w:p>
        </w:tc>
      </w:tr>
      <w:tr w:rsidR="00530347" w14:paraId="6196CA52" w14:textId="77777777" w:rsidTr="00B06065">
        <w:trPr>
          <w:trHeight w:val="397"/>
        </w:trPr>
        <w:tc>
          <w:tcPr>
            <w:tcW w:w="4841" w:type="dxa"/>
            <w:vAlign w:val="center"/>
          </w:tcPr>
          <w:p w14:paraId="6169DF00" w14:textId="77777777" w:rsidR="00530347" w:rsidRPr="00382AEA" w:rsidRDefault="00C438DF" w:rsidP="00326F15">
            <w:pPr>
              <w:pStyle w:val="mainbody"/>
              <w:rPr>
                <w:sz w:val="20"/>
              </w:rPr>
            </w:pPr>
            <w:r w:rsidRPr="00382AEA">
              <w:rPr>
                <w:sz w:val="20"/>
              </w:rPr>
              <w:t xml:space="preserve">Subject/sector areas </w:t>
            </w:r>
          </w:p>
        </w:tc>
        <w:tc>
          <w:tcPr>
            <w:tcW w:w="4841" w:type="dxa"/>
            <w:vAlign w:val="center"/>
          </w:tcPr>
          <w:p w14:paraId="359CF604" w14:textId="3E30F75B" w:rsidR="00530347" w:rsidRPr="00382AEA" w:rsidRDefault="006515EA" w:rsidP="00326F15">
            <w:pPr>
              <w:pStyle w:val="mainbody"/>
              <w:rPr>
                <w:sz w:val="20"/>
              </w:rPr>
            </w:pPr>
            <w:r w:rsidRPr="00382AEA">
              <w:rPr>
                <w:sz w:val="20"/>
              </w:rPr>
              <w:t>Construction</w:t>
            </w:r>
          </w:p>
        </w:tc>
      </w:tr>
      <w:tr w:rsidR="00530347" w14:paraId="63B9C735" w14:textId="77777777" w:rsidTr="00B06065">
        <w:trPr>
          <w:trHeight w:val="397"/>
        </w:trPr>
        <w:tc>
          <w:tcPr>
            <w:tcW w:w="4841" w:type="dxa"/>
          </w:tcPr>
          <w:p w14:paraId="70DCA7F1" w14:textId="77777777" w:rsidR="00530347" w:rsidRPr="00382AEA" w:rsidRDefault="00C438DF" w:rsidP="00326F15">
            <w:pPr>
              <w:pStyle w:val="mainbody"/>
              <w:rPr>
                <w:sz w:val="20"/>
              </w:rPr>
            </w:pPr>
            <w:r w:rsidRPr="00382AEA">
              <w:rPr>
                <w:sz w:val="20"/>
              </w:rPr>
              <w:t xml:space="preserve">Qualification operational start date: </w:t>
            </w:r>
          </w:p>
        </w:tc>
        <w:tc>
          <w:tcPr>
            <w:tcW w:w="4841" w:type="dxa"/>
            <w:vAlign w:val="center"/>
          </w:tcPr>
          <w:p w14:paraId="5C23C7ED" w14:textId="56F280ED" w:rsidR="00530347" w:rsidRPr="00382AEA" w:rsidRDefault="00686EE0" w:rsidP="00961063">
            <w:pPr>
              <w:pStyle w:val="mainbody"/>
              <w:rPr>
                <w:sz w:val="20"/>
              </w:rPr>
            </w:pPr>
            <w:r w:rsidRPr="00382AEA">
              <w:rPr>
                <w:sz w:val="20"/>
              </w:rPr>
              <w:t>01/</w:t>
            </w:r>
            <w:r w:rsidR="00CD7B9B" w:rsidRPr="00382AEA">
              <w:rPr>
                <w:sz w:val="20"/>
              </w:rPr>
              <w:t>11</w:t>
            </w:r>
            <w:r w:rsidRPr="00382AEA">
              <w:rPr>
                <w:sz w:val="20"/>
              </w:rPr>
              <w:t>/2024</w:t>
            </w:r>
          </w:p>
        </w:tc>
      </w:tr>
      <w:tr w:rsidR="00530347" w14:paraId="03A6C616" w14:textId="77777777" w:rsidTr="00B06065">
        <w:trPr>
          <w:trHeight w:val="397"/>
        </w:trPr>
        <w:tc>
          <w:tcPr>
            <w:tcW w:w="4841" w:type="dxa"/>
            <w:vAlign w:val="center"/>
          </w:tcPr>
          <w:p w14:paraId="49B3ABB6" w14:textId="77777777" w:rsidR="00530347" w:rsidRPr="00382AEA" w:rsidRDefault="00C438DF" w:rsidP="00326F15">
            <w:pPr>
              <w:pStyle w:val="mainbody"/>
              <w:rPr>
                <w:sz w:val="20"/>
              </w:rPr>
            </w:pPr>
            <w:r w:rsidRPr="00382AEA">
              <w:rPr>
                <w:sz w:val="20"/>
              </w:rPr>
              <w:t xml:space="preserve">Applicable age ranges (years): </w:t>
            </w:r>
          </w:p>
        </w:tc>
        <w:tc>
          <w:tcPr>
            <w:tcW w:w="4841" w:type="dxa"/>
            <w:vAlign w:val="center"/>
          </w:tcPr>
          <w:p w14:paraId="0CCF3166" w14:textId="1FECC270" w:rsidR="00530347" w:rsidRPr="00382AEA" w:rsidRDefault="004F0E5B" w:rsidP="00326F15">
            <w:pPr>
              <w:pStyle w:val="mainbody"/>
              <w:rPr>
                <w:sz w:val="20"/>
              </w:rPr>
            </w:pPr>
            <w:r>
              <w:rPr>
                <w:sz w:val="20"/>
              </w:rPr>
              <w:t xml:space="preserve">16-18 and </w:t>
            </w:r>
            <w:r w:rsidR="00577163" w:rsidRPr="00382AEA">
              <w:rPr>
                <w:sz w:val="20"/>
              </w:rPr>
              <w:t>18+</w:t>
            </w:r>
          </w:p>
        </w:tc>
      </w:tr>
    </w:tbl>
    <w:p w14:paraId="628139A7" w14:textId="77777777" w:rsidR="00DC4C7B" w:rsidRDefault="00DC4C7B" w:rsidP="009C46BB">
      <w:pPr>
        <w:pStyle w:val="Heading1"/>
      </w:pPr>
    </w:p>
    <w:p w14:paraId="2DFE9B1A" w14:textId="0736F5D2" w:rsidR="00530347" w:rsidRPr="00D80D05" w:rsidRDefault="00C438DF" w:rsidP="009C46BB">
      <w:pPr>
        <w:pStyle w:val="Heading1"/>
      </w:pPr>
      <w:r w:rsidRPr="00D80D05">
        <w:t xml:space="preserve">Further information </w:t>
      </w:r>
    </w:p>
    <w:p w14:paraId="2390C9B7" w14:textId="681BCF27" w:rsidR="00530347" w:rsidRPr="00A7687B" w:rsidRDefault="00C438DF" w:rsidP="00326F15">
      <w:pPr>
        <w:pStyle w:val="mainbody"/>
        <w:rPr>
          <w:sz w:val="20"/>
        </w:rPr>
      </w:pPr>
      <w:r w:rsidRPr="00A7687B">
        <w:rPr>
          <w:sz w:val="20"/>
        </w:rPr>
        <w:t xml:space="preserve">Further information about this qualification can be obtained from: </w:t>
      </w:r>
      <w:hyperlink r:id="rId7" w:history="1">
        <w:r w:rsidR="008E7AAF" w:rsidRPr="00A7687B">
          <w:rPr>
            <w:rStyle w:val="Hyperlink"/>
            <w:sz w:val="20"/>
          </w:rPr>
          <w:t>www.gqaqualifications.com/qualifications</w:t>
        </w:r>
      </w:hyperlink>
      <w:r w:rsidR="009E2FD5" w:rsidRPr="00A7687B">
        <w:rPr>
          <w:sz w:val="20"/>
        </w:rPr>
        <w:t xml:space="preserve"> </w:t>
      </w:r>
    </w:p>
    <w:p w14:paraId="0497497D" w14:textId="77777777" w:rsidR="00530347" w:rsidRPr="00A7687B" w:rsidRDefault="00C438DF" w:rsidP="00326F15">
      <w:pPr>
        <w:pStyle w:val="mainbody"/>
        <w:rPr>
          <w:sz w:val="20"/>
        </w:rPr>
      </w:pPr>
      <w:r w:rsidRPr="00A7687B">
        <w:rPr>
          <w:sz w:val="20"/>
        </w:rPr>
        <w:t xml:space="preserve">You can also contact </w:t>
      </w:r>
      <w:r w:rsidR="009E2FD5" w:rsidRPr="00A7687B">
        <w:rPr>
          <w:sz w:val="20"/>
        </w:rPr>
        <w:t>GQA Qualifications di</w:t>
      </w:r>
      <w:r w:rsidRPr="00A7687B">
        <w:rPr>
          <w:sz w:val="20"/>
        </w:rPr>
        <w:t xml:space="preserve">rectly at: </w:t>
      </w:r>
    </w:p>
    <w:p w14:paraId="3850968A" w14:textId="7D513F4D" w:rsidR="008E7AAF" w:rsidRPr="00A7687B" w:rsidRDefault="009E2FD5" w:rsidP="00326F15">
      <w:pPr>
        <w:pStyle w:val="mainbody"/>
        <w:rPr>
          <w:rFonts w:eastAsia="Calibri"/>
          <w:sz w:val="20"/>
        </w:rPr>
      </w:pPr>
      <w:r w:rsidRPr="00A7687B">
        <w:rPr>
          <w:rFonts w:eastAsia="Calibri"/>
          <w:sz w:val="20"/>
        </w:rPr>
        <w:t>GQA Qualifications Ltd</w:t>
      </w:r>
      <w:r w:rsidR="008E7AAF" w:rsidRPr="00A7687B">
        <w:rPr>
          <w:rFonts w:eastAsia="Calibri"/>
          <w:sz w:val="20"/>
        </w:rPr>
        <w:t xml:space="preserve">, </w:t>
      </w:r>
      <w:r w:rsidRPr="00A7687B">
        <w:rPr>
          <w:rFonts w:eastAsia="Calibri"/>
          <w:sz w:val="20"/>
        </w:rPr>
        <w:t xml:space="preserve">Unit 1, </w:t>
      </w:r>
      <w:r w:rsidR="00270383" w:rsidRPr="00A7687B">
        <w:rPr>
          <w:rFonts w:eastAsia="Calibri"/>
          <w:sz w:val="20"/>
        </w:rPr>
        <w:t>12 O’clock Court</w:t>
      </w:r>
      <w:r w:rsidRPr="00A7687B">
        <w:rPr>
          <w:rFonts w:eastAsia="Calibri"/>
          <w:sz w:val="20"/>
        </w:rPr>
        <w:t xml:space="preserve">, Sheffield S4 7WW. </w:t>
      </w:r>
    </w:p>
    <w:p w14:paraId="61AB17EF" w14:textId="3F0B8741" w:rsidR="00530347" w:rsidRDefault="009E2FD5" w:rsidP="00326F15">
      <w:pPr>
        <w:pStyle w:val="mainbody"/>
      </w:pPr>
      <w:r w:rsidRPr="00A7687B">
        <w:rPr>
          <w:rFonts w:eastAsia="Calibri"/>
          <w:sz w:val="20"/>
        </w:rPr>
        <w:t>Tel 01142 720033, email to info@gqaqualifications.com</w:t>
      </w:r>
    </w:p>
    <w:p w14:paraId="2F038606" w14:textId="77777777" w:rsidR="009C46BB" w:rsidRDefault="009C46BB" w:rsidP="00326F15">
      <w:pPr>
        <w:pStyle w:val="mainbody"/>
      </w:pPr>
    </w:p>
    <w:p w14:paraId="7BC21745" w14:textId="41A69734" w:rsidR="00530347" w:rsidRPr="00D80D05" w:rsidRDefault="00C438DF" w:rsidP="009C46BB">
      <w:pPr>
        <w:pStyle w:val="Heading1"/>
      </w:pPr>
      <w:r w:rsidRPr="00D80D05">
        <w:lastRenderedPageBreak/>
        <w:t xml:space="preserve">Qualification achievement </w:t>
      </w:r>
    </w:p>
    <w:p w14:paraId="5E58EF87" w14:textId="3875F754" w:rsidR="0036706C" w:rsidRPr="00A7687B" w:rsidRDefault="00EB6591" w:rsidP="00DC4C7B">
      <w:pPr>
        <w:pStyle w:val="BodyText"/>
      </w:pPr>
      <w:r w:rsidRPr="00A7687B">
        <w:t xml:space="preserve">It </w:t>
      </w:r>
      <w:r w:rsidR="001B4B75" w:rsidRPr="00A7687B">
        <w:t xml:space="preserve">is not expected that all workers will complete </w:t>
      </w:r>
      <w:r w:rsidR="00983A3F" w:rsidRPr="00A7687B">
        <w:t xml:space="preserve">exactly </w:t>
      </w:r>
      <w:r w:rsidR="001B4B75" w:rsidRPr="00A7687B">
        <w:t xml:space="preserve">the same tasks, </w:t>
      </w:r>
      <w:r w:rsidRPr="00A7687B">
        <w:t>so the q</w:t>
      </w:r>
      <w:r w:rsidR="00983A3F" w:rsidRPr="00A7687B">
        <w:t xml:space="preserve">ualification </w:t>
      </w:r>
      <w:r w:rsidRPr="00A7687B">
        <w:t xml:space="preserve">has been designed to allow flexibility and in turn, as wide an uptake as possible. </w:t>
      </w:r>
    </w:p>
    <w:p w14:paraId="5CD88BF5" w14:textId="77777777" w:rsidR="00DC4C7B" w:rsidRPr="00A7687B" w:rsidRDefault="00DC4C7B" w:rsidP="00DC4C7B">
      <w:pPr>
        <w:pStyle w:val="BodyText"/>
      </w:pPr>
    </w:p>
    <w:p w14:paraId="3D7E12F0" w14:textId="01C43842" w:rsidR="006515EA" w:rsidRPr="00A7687B" w:rsidRDefault="00EB6591" w:rsidP="0036706C">
      <w:pPr>
        <w:pStyle w:val="mainbody"/>
        <w:contextualSpacing/>
        <w:rPr>
          <w:sz w:val="20"/>
        </w:rPr>
      </w:pPr>
      <w:r w:rsidRPr="00A7687B">
        <w:rPr>
          <w:sz w:val="20"/>
        </w:rPr>
        <w:t xml:space="preserve">Individuals must complete </w:t>
      </w:r>
      <w:r w:rsidR="00382AEA">
        <w:rPr>
          <w:sz w:val="20"/>
        </w:rPr>
        <w:t>all</w:t>
      </w:r>
      <w:r w:rsidR="000F1642" w:rsidRPr="00A7687B">
        <w:rPr>
          <w:sz w:val="20"/>
        </w:rPr>
        <w:t xml:space="preserve"> mandatory units</w:t>
      </w:r>
      <w:r w:rsidR="00382AEA">
        <w:rPr>
          <w:sz w:val="20"/>
        </w:rPr>
        <w:t>.</w:t>
      </w:r>
    </w:p>
    <w:p w14:paraId="1F128571" w14:textId="77777777" w:rsidR="00FD0EFE" w:rsidRPr="00A7687B" w:rsidRDefault="00FD0EFE" w:rsidP="00DC4C7B">
      <w:pPr>
        <w:pStyle w:val="BodyText"/>
      </w:pPr>
    </w:p>
    <w:p w14:paraId="70004792" w14:textId="5911E0E2" w:rsidR="00EB6591" w:rsidRPr="00A7687B" w:rsidRDefault="000F1642" w:rsidP="0036706C">
      <w:pPr>
        <w:pStyle w:val="mainbody"/>
        <w:contextualSpacing/>
        <w:rPr>
          <w:sz w:val="20"/>
        </w:rPr>
      </w:pPr>
      <w:r w:rsidRPr="00A7687B">
        <w:rPr>
          <w:sz w:val="20"/>
        </w:rPr>
        <w:t>T</w:t>
      </w:r>
      <w:r w:rsidR="00EB6591" w:rsidRPr="00A7687B">
        <w:rPr>
          <w:sz w:val="20"/>
        </w:rPr>
        <w:t xml:space="preserve">he minimum credit value of the qualification is </w:t>
      </w:r>
      <w:r w:rsidR="00382AEA">
        <w:rPr>
          <w:sz w:val="20"/>
        </w:rPr>
        <w:t>9</w:t>
      </w:r>
      <w:r w:rsidR="00EC5486" w:rsidRPr="00A7687B">
        <w:rPr>
          <w:sz w:val="20"/>
        </w:rPr>
        <w:t xml:space="preserve"> </w:t>
      </w:r>
      <w:r w:rsidR="00EB6591" w:rsidRPr="00A7687B">
        <w:rPr>
          <w:sz w:val="20"/>
        </w:rPr>
        <w:t xml:space="preserve">credits. </w:t>
      </w:r>
    </w:p>
    <w:p w14:paraId="3A802BCD" w14:textId="77777777" w:rsidR="001B4B75" w:rsidRPr="00A7687B" w:rsidRDefault="001B4B75" w:rsidP="00DC4C7B">
      <w:pPr>
        <w:pStyle w:val="BodyText"/>
      </w:pPr>
    </w:p>
    <w:p w14:paraId="3932B0A8" w14:textId="61FC0AB9" w:rsidR="008E7AAF" w:rsidRPr="004F0E5B" w:rsidRDefault="008E7AAF" w:rsidP="00326F15">
      <w:pPr>
        <w:pStyle w:val="mainbody"/>
        <w:contextualSpacing/>
        <w:rPr>
          <w:sz w:val="20"/>
        </w:rPr>
      </w:pPr>
      <w:r w:rsidRPr="00A7687B">
        <w:rPr>
          <w:sz w:val="20"/>
        </w:rPr>
        <w:t xml:space="preserve">Qualifications are now required to indicate the total qualification time (TQT), this is to show the typical time it will take someone to attain the required skills and knowledge to meet the qualification criteria. </w:t>
      </w:r>
      <w:r w:rsidR="00270383" w:rsidRPr="00A7687B">
        <w:rPr>
          <w:sz w:val="20"/>
        </w:rPr>
        <w:t>The</w:t>
      </w:r>
      <w:r w:rsidR="00686EE0" w:rsidRPr="00A7687B">
        <w:rPr>
          <w:sz w:val="20"/>
        </w:rPr>
        <w:t xml:space="preserve"> minimum</w:t>
      </w:r>
      <w:r w:rsidR="00270383" w:rsidRPr="00A7687B">
        <w:rPr>
          <w:sz w:val="20"/>
        </w:rPr>
        <w:t xml:space="preserve"> TQT for this qualification </w:t>
      </w:r>
      <w:r w:rsidR="00270383" w:rsidRPr="004F0E5B">
        <w:rPr>
          <w:sz w:val="20"/>
        </w:rPr>
        <w:t>is</w:t>
      </w:r>
      <w:r w:rsidR="005B0D00" w:rsidRPr="004F0E5B">
        <w:rPr>
          <w:sz w:val="20"/>
        </w:rPr>
        <w:t xml:space="preserve"> </w:t>
      </w:r>
      <w:r w:rsidR="00382AEA" w:rsidRPr="004F0E5B">
        <w:rPr>
          <w:sz w:val="20"/>
        </w:rPr>
        <w:t>84</w:t>
      </w:r>
      <w:r w:rsidR="00270383" w:rsidRPr="004F0E5B">
        <w:rPr>
          <w:sz w:val="20"/>
        </w:rPr>
        <w:t xml:space="preserve"> hours.</w:t>
      </w:r>
    </w:p>
    <w:p w14:paraId="336F41F7" w14:textId="77777777" w:rsidR="00686EE0" w:rsidRPr="004F0E5B" w:rsidRDefault="00686EE0" w:rsidP="00DC4C7B">
      <w:pPr>
        <w:pStyle w:val="BodyText"/>
      </w:pPr>
    </w:p>
    <w:p w14:paraId="64E1046B" w14:textId="3FC3D933" w:rsidR="00270383" w:rsidRPr="00A7687B" w:rsidRDefault="00270383" w:rsidP="00270383">
      <w:pPr>
        <w:pStyle w:val="mainbody"/>
        <w:rPr>
          <w:sz w:val="20"/>
        </w:rPr>
      </w:pPr>
      <w:r w:rsidRPr="004F0E5B">
        <w:rPr>
          <w:sz w:val="20"/>
        </w:rPr>
        <w:t xml:space="preserve">Qualifications are also required to indicate the number of hours of teaching someone would normally need to receive in order to achieve the qualification. These are referred to as Guided Learning Hours (GLH). The </w:t>
      </w:r>
      <w:r w:rsidR="000F1642" w:rsidRPr="004F0E5B">
        <w:rPr>
          <w:sz w:val="20"/>
        </w:rPr>
        <w:t xml:space="preserve">minimum </w:t>
      </w:r>
      <w:r w:rsidRPr="004F0E5B">
        <w:rPr>
          <w:sz w:val="20"/>
        </w:rPr>
        <w:t xml:space="preserve">GLH for this qualification is </w:t>
      </w:r>
      <w:r w:rsidR="00382AEA" w:rsidRPr="004F0E5B">
        <w:rPr>
          <w:sz w:val="20"/>
        </w:rPr>
        <w:t>54</w:t>
      </w:r>
      <w:r w:rsidR="00686EE0" w:rsidRPr="004F0E5B">
        <w:rPr>
          <w:sz w:val="20"/>
        </w:rPr>
        <w:t>.</w:t>
      </w:r>
    </w:p>
    <w:p w14:paraId="68AFE8DB" w14:textId="77777777" w:rsidR="008E7AAF" w:rsidRPr="00A7687B" w:rsidRDefault="008E7AAF" w:rsidP="00DC4C7B">
      <w:pPr>
        <w:pStyle w:val="BodyText"/>
      </w:pPr>
    </w:p>
    <w:p w14:paraId="6E357E8A" w14:textId="77777777" w:rsidR="00134063" w:rsidRDefault="008E7AAF" w:rsidP="00652C1F">
      <w:pPr>
        <w:pStyle w:val="mainbody"/>
        <w:rPr>
          <w:sz w:val="20"/>
        </w:rPr>
      </w:pPr>
      <w:r w:rsidRPr="00A7687B">
        <w:rPr>
          <w:sz w:val="20"/>
        </w:rPr>
        <w:t>The unit of assessment set</w:t>
      </w:r>
      <w:r w:rsidR="000F1168" w:rsidRPr="00A7687B">
        <w:rPr>
          <w:sz w:val="20"/>
        </w:rPr>
        <w:t>s</w:t>
      </w:r>
      <w:r w:rsidRPr="00A7687B">
        <w:rPr>
          <w:sz w:val="20"/>
        </w:rPr>
        <w:t xml:space="preserve"> out learning outcomes which describe what learners need to be able to do and understand. </w:t>
      </w:r>
      <w:r w:rsidR="00134063">
        <w:rPr>
          <w:sz w:val="20"/>
        </w:rPr>
        <w:t>L</w:t>
      </w:r>
      <w:r w:rsidRPr="00A7687B">
        <w:rPr>
          <w:sz w:val="20"/>
        </w:rPr>
        <w:t>earning outcomes are defined by assessment criteria which are used to assess competence, expressed as skills achieved and learned knowledge and understanding, to achieve the units.</w:t>
      </w:r>
      <w:r w:rsidR="009554CF" w:rsidRPr="00A7687B">
        <w:rPr>
          <w:sz w:val="20"/>
        </w:rPr>
        <w:t xml:space="preserve"> </w:t>
      </w:r>
    </w:p>
    <w:p w14:paraId="7EE7D0B5" w14:textId="77777777" w:rsidR="00134063" w:rsidRDefault="00134063" w:rsidP="00652C1F">
      <w:pPr>
        <w:pStyle w:val="mainbody"/>
        <w:rPr>
          <w:sz w:val="20"/>
        </w:rPr>
      </w:pPr>
    </w:p>
    <w:p w14:paraId="3AD27FCD" w14:textId="15447922" w:rsidR="00382AEA" w:rsidRPr="00382AEA" w:rsidRDefault="008E7AAF" w:rsidP="00652C1F">
      <w:pPr>
        <w:pStyle w:val="mainbody"/>
        <w:rPr>
          <w:sz w:val="20"/>
        </w:rPr>
      </w:pPr>
      <w:r w:rsidRPr="00A7687B">
        <w:rPr>
          <w:sz w:val="20"/>
        </w:rPr>
        <w:t>GQA Qualifications will issue a certificate complete with the learner’s name, the qualification and unit title and the credits achieved.</w:t>
      </w:r>
    </w:p>
    <w:p w14:paraId="02028F58" w14:textId="77777777" w:rsidR="00A7687B" w:rsidRDefault="00A7687B" w:rsidP="00652C1F">
      <w:pPr>
        <w:pStyle w:val="mainbody"/>
      </w:pPr>
    </w:p>
    <w:p w14:paraId="2D5B4E29" w14:textId="7377E14A" w:rsidR="009C46BB" w:rsidRDefault="009C46BB" w:rsidP="009C46BB">
      <w:pPr>
        <w:pStyle w:val="Heading1"/>
      </w:pPr>
      <w:r w:rsidRPr="00D80D05">
        <w:t>Qualification Structure</w:t>
      </w:r>
    </w:p>
    <w:tbl>
      <w:tblPr>
        <w:tblStyle w:val="TableGrid"/>
        <w:tblW w:w="9923" w:type="dxa"/>
        <w:tblInd w:w="-14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CellMar>
          <w:top w:w="55" w:type="dxa"/>
          <w:left w:w="27" w:type="dxa"/>
        </w:tblCellMar>
        <w:tblLook w:val="04A0" w:firstRow="1" w:lastRow="0" w:firstColumn="1" w:lastColumn="0" w:noHBand="0" w:noVBand="1"/>
      </w:tblPr>
      <w:tblGrid>
        <w:gridCol w:w="1276"/>
        <w:gridCol w:w="1560"/>
        <w:gridCol w:w="567"/>
        <w:gridCol w:w="2763"/>
        <w:gridCol w:w="639"/>
        <w:gridCol w:w="1275"/>
        <w:gridCol w:w="851"/>
        <w:gridCol w:w="283"/>
        <w:gridCol w:w="709"/>
      </w:tblGrid>
      <w:tr w:rsidR="00093096" w:rsidRPr="00A7687B" w14:paraId="0F155AE6" w14:textId="77777777" w:rsidTr="00EC5486">
        <w:trPr>
          <w:trHeight w:val="443"/>
        </w:trPr>
        <w:tc>
          <w:tcPr>
            <w:tcW w:w="2836" w:type="dxa"/>
            <w:gridSpan w:val="2"/>
            <w:shd w:val="clear" w:color="auto" w:fill="E2EFD9" w:themeFill="accent6" w:themeFillTint="33"/>
            <w:vAlign w:val="center"/>
          </w:tcPr>
          <w:p w14:paraId="518062AA" w14:textId="77777777" w:rsidR="00093096" w:rsidRPr="00A7687B" w:rsidRDefault="00093096" w:rsidP="002369F6">
            <w:pPr>
              <w:pStyle w:val="mainbody"/>
              <w:spacing w:line="240" w:lineRule="auto"/>
              <w:rPr>
                <w:rFonts w:cstheme="minorHAnsi"/>
                <w:b/>
                <w:bCs/>
                <w:color w:val="000000" w:themeColor="text1"/>
                <w:sz w:val="20"/>
              </w:rPr>
            </w:pPr>
            <w:r w:rsidRPr="00A7687B">
              <w:rPr>
                <w:rFonts w:cstheme="minorHAnsi"/>
                <w:b/>
                <w:bCs/>
                <w:color w:val="000000" w:themeColor="text1"/>
                <w:sz w:val="20"/>
              </w:rPr>
              <w:t xml:space="preserve">Qualification Title:  </w:t>
            </w:r>
          </w:p>
        </w:tc>
        <w:tc>
          <w:tcPr>
            <w:tcW w:w="7087" w:type="dxa"/>
            <w:gridSpan w:val="7"/>
            <w:vAlign w:val="center"/>
          </w:tcPr>
          <w:p w14:paraId="32FC0896" w14:textId="77777777" w:rsidR="009554CF" w:rsidRPr="00382AEA" w:rsidRDefault="000F1168" w:rsidP="00CB0FAA">
            <w:pPr>
              <w:pStyle w:val="mainbody"/>
              <w:spacing w:line="240" w:lineRule="auto"/>
              <w:rPr>
                <w:rFonts w:cstheme="minorHAnsi"/>
                <w:b/>
                <w:bCs/>
                <w:color w:val="000000" w:themeColor="text1"/>
                <w:sz w:val="20"/>
              </w:rPr>
            </w:pPr>
            <w:r w:rsidRPr="00A7687B">
              <w:rPr>
                <w:rFonts w:cstheme="minorHAnsi"/>
                <w:sz w:val="20"/>
              </w:rPr>
              <w:tab/>
            </w:r>
          </w:p>
          <w:p w14:paraId="3FE0CFD9" w14:textId="77777777" w:rsidR="00382AEA" w:rsidRPr="00382AEA" w:rsidRDefault="00382AEA" w:rsidP="00382AEA">
            <w:pPr>
              <w:spacing w:after="0"/>
              <w:ind w:left="0" w:firstLine="0"/>
              <w:rPr>
                <w:rFonts w:ascii="Calibri" w:eastAsia="Times New Roman" w:hAnsi="Calibri" w:cs="Calibri"/>
                <w:b/>
                <w:bCs/>
                <w:sz w:val="22"/>
              </w:rPr>
            </w:pPr>
            <w:r w:rsidRPr="00382AEA">
              <w:rPr>
                <w:rFonts w:ascii="Calibri" w:hAnsi="Calibri" w:cs="Calibri"/>
                <w:b/>
                <w:bCs/>
                <w:sz w:val="22"/>
              </w:rPr>
              <w:t>GQA Level 4 Diploma in Retrofit Assessor</w:t>
            </w:r>
          </w:p>
          <w:p w14:paraId="4555FE9B" w14:textId="455902C6" w:rsidR="00093096" w:rsidRPr="00A7687B" w:rsidRDefault="00093096" w:rsidP="00CB0FAA">
            <w:pPr>
              <w:pStyle w:val="mainbody"/>
              <w:spacing w:line="240" w:lineRule="auto"/>
              <w:rPr>
                <w:rFonts w:cstheme="minorHAnsi"/>
                <w:color w:val="000000" w:themeColor="text1"/>
                <w:sz w:val="20"/>
              </w:rPr>
            </w:pPr>
          </w:p>
        </w:tc>
      </w:tr>
      <w:tr w:rsidR="00093096" w:rsidRPr="00A7687B" w14:paraId="0652D060" w14:textId="77777777" w:rsidTr="00EC5486">
        <w:trPr>
          <w:trHeight w:val="443"/>
        </w:trPr>
        <w:tc>
          <w:tcPr>
            <w:tcW w:w="2836" w:type="dxa"/>
            <w:gridSpan w:val="2"/>
            <w:shd w:val="clear" w:color="auto" w:fill="E2EFD9" w:themeFill="accent6" w:themeFillTint="33"/>
            <w:vAlign w:val="center"/>
          </w:tcPr>
          <w:p w14:paraId="414CF42F" w14:textId="77777777" w:rsidR="00093096" w:rsidRPr="00A7687B" w:rsidRDefault="00093096" w:rsidP="002369F6">
            <w:pPr>
              <w:pStyle w:val="mainbody"/>
              <w:spacing w:line="240" w:lineRule="auto"/>
              <w:rPr>
                <w:rFonts w:cstheme="minorHAnsi"/>
                <w:b/>
                <w:bCs/>
                <w:color w:val="000000" w:themeColor="text1"/>
                <w:sz w:val="20"/>
              </w:rPr>
            </w:pPr>
            <w:r w:rsidRPr="00A7687B">
              <w:rPr>
                <w:rFonts w:cstheme="minorHAnsi"/>
                <w:b/>
                <w:bCs/>
                <w:color w:val="000000" w:themeColor="text1"/>
                <w:sz w:val="20"/>
              </w:rPr>
              <w:t>Qualification Number (QAN):</w:t>
            </w:r>
          </w:p>
        </w:tc>
        <w:tc>
          <w:tcPr>
            <w:tcW w:w="7087" w:type="dxa"/>
            <w:gridSpan w:val="7"/>
            <w:vAlign w:val="center"/>
          </w:tcPr>
          <w:p w14:paraId="5C88DC89" w14:textId="77777777" w:rsidR="00382AEA" w:rsidRDefault="00382AEA" w:rsidP="00382AEA">
            <w:pPr>
              <w:spacing w:after="0"/>
              <w:ind w:left="0" w:firstLine="0"/>
              <w:rPr>
                <w:rFonts w:ascii="Calibri" w:eastAsia="Times New Roman" w:hAnsi="Calibri" w:cs="Calibri"/>
                <w:sz w:val="22"/>
              </w:rPr>
            </w:pPr>
            <w:r>
              <w:rPr>
                <w:rFonts w:ascii="Calibri" w:hAnsi="Calibri" w:cs="Calibri"/>
                <w:sz w:val="22"/>
              </w:rPr>
              <w:t>610/4729/6</w:t>
            </w:r>
          </w:p>
          <w:p w14:paraId="4040859E" w14:textId="18498B8A" w:rsidR="00093096" w:rsidRPr="00A7687B" w:rsidRDefault="00093096" w:rsidP="002369F6">
            <w:pPr>
              <w:pStyle w:val="mainbody"/>
              <w:spacing w:line="240" w:lineRule="auto"/>
              <w:rPr>
                <w:rFonts w:cstheme="minorHAnsi"/>
                <w:color w:val="000000" w:themeColor="text1"/>
                <w:sz w:val="20"/>
              </w:rPr>
            </w:pPr>
          </w:p>
        </w:tc>
      </w:tr>
      <w:tr w:rsidR="00A06828" w:rsidRPr="00A7687B" w14:paraId="6AB53780" w14:textId="77777777" w:rsidTr="00382AEA">
        <w:trPr>
          <w:trHeight w:val="443"/>
        </w:trPr>
        <w:tc>
          <w:tcPr>
            <w:tcW w:w="2836" w:type="dxa"/>
            <w:gridSpan w:val="2"/>
            <w:shd w:val="clear" w:color="auto" w:fill="E2EFD9" w:themeFill="accent6" w:themeFillTint="33"/>
            <w:vAlign w:val="center"/>
          </w:tcPr>
          <w:p w14:paraId="32109B6A" w14:textId="77777777" w:rsidR="00A06828" w:rsidRPr="00A7687B" w:rsidRDefault="00A06828" w:rsidP="002369F6">
            <w:pPr>
              <w:pStyle w:val="mainbody"/>
              <w:spacing w:line="240" w:lineRule="auto"/>
              <w:rPr>
                <w:rFonts w:cstheme="minorHAnsi"/>
                <w:b/>
                <w:bCs/>
                <w:color w:val="000000" w:themeColor="text1"/>
                <w:sz w:val="20"/>
              </w:rPr>
            </w:pPr>
            <w:r w:rsidRPr="00A7687B">
              <w:rPr>
                <w:rFonts w:cstheme="minorHAnsi"/>
                <w:b/>
                <w:bCs/>
                <w:color w:val="000000" w:themeColor="text1"/>
                <w:sz w:val="20"/>
              </w:rPr>
              <w:t>Total Credits:</w:t>
            </w:r>
          </w:p>
        </w:tc>
        <w:tc>
          <w:tcPr>
            <w:tcW w:w="567" w:type="dxa"/>
            <w:vAlign w:val="center"/>
          </w:tcPr>
          <w:p w14:paraId="161C0949" w14:textId="4B712137" w:rsidR="00A06828" w:rsidRPr="00A7687B" w:rsidRDefault="00382AEA" w:rsidP="00382AEA">
            <w:pPr>
              <w:pStyle w:val="mainbody"/>
              <w:spacing w:line="240" w:lineRule="auto"/>
              <w:jc w:val="center"/>
              <w:rPr>
                <w:rFonts w:cstheme="minorHAnsi"/>
                <w:color w:val="000000" w:themeColor="text1"/>
                <w:sz w:val="20"/>
              </w:rPr>
            </w:pPr>
            <w:r>
              <w:rPr>
                <w:rFonts w:cstheme="minorHAnsi"/>
                <w:color w:val="000000" w:themeColor="text1"/>
                <w:sz w:val="20"/>
              </w:rPr>
              <w:t>9</w:t>
            </w:r>
          </w:p>
        </w:tc>
        <w:tc>
          <w:tcPr>
            <w:tcW w:w="2763" w:type="dxa"/>
            <w:shd w:val="clear" w:color="auto" w:fill="E2EFD9" w:themeFill="accent6" w:themeFillTint="33"/>
            <w:vAlign w:val="center"/>
          </w:tcPr>
          <w:p w14:paraId="4C9CEF97" w14:textId="7F0FB9F4" w:rsidR="00A06828" w:rsidRPr="00A7687B" w:rsidRDefault="00A06828" w:rsidP="002369F6">
            <w:pPr>
              <w:pStyle w:val="mainbody"/>
              <w:spacing w:line="240" w:lineRule="auto"/>
              <w:rPr>
                <w:rFonts w:cstheme="minorHAnsi"/>
                <w:b/>
                <w:bCs/>
                <w:color w:val="000000" w:themeColor="text1"/>
                <w:sz w:val="20"/>
              </w:rPr>
            </w:pPr>
            <w:r w:rsidRPr="00A7687B">
              <w:rPr>
                <w:rFonts w:cstheme="minorHAnsi"/>
                <w:b/>
                <w:bCs/>
                <w:color w:val="000000" w:themeColor="text1"/>
                <w:sz w:val="20"/>
              </w:rPr>
              <w:t>Total Qualification Time (TQT)</w:t>
            </w:r>
          </w:p>
        </w:tc>
        <w:tc>
          <w:tcPr>
            <w:tcW w:w="639" w:type="dxa"/>
            <w:vAlign w:val="center"/>
          </w:tcPr>
          <w:p w14:paraId="3BA044EE" w14:textId="15D827A2" w:rsidR="00A06828" w:rsidRPr="004F0E5B" w:rsidRDefault="00382AEA" w:rsidP="00382AEA">
            <w:pPr>
              <w:pStyle w:val="mainbody"/>
              <w:spacing w:line="240" w:lineRule="auto"/>
              <w:jc w:val="center"/>
              <w:rPr>
                <w:rFonts w:cstheme="minorHAnsi"/>
                <w:color w:val="000000" w:themeColor="text1"/>
                <w:sz w:val="20"/>
              </w:rPr>
            </w:pPr>
            <w:r w:rsidRPr="004F0E5B">
              <w:rPr>
                <w:rFonts w:cstheme="minorHAnsi"/>
                <w:color w:val="000000" w:themeColor="text1"/>
                <w:sz w:val="20"/>
              </w:rPr>
              <w:t>84</w:t>
            </w:r>
          </w:p>
        </w:tc>
        <w:tc>
          <w:tcPr>
            <w:tcW w:w="2409" w:type="dxa"/>
            <w:gridSpan w:val="3"/>
            <w:shd w:val="clear" w:color="auto" w:fill="E2EFD9" w:themeFill="accent6" w:themeFillTint="33"/>
            <w:vAlign w:val="center"/>
          </w:tcPr>
          <w:p w14:paraId="49887D28" w14:textId="1948BB84" w:rsidR="00A06828" w:rsidRPr="004F0E5B" w:rsidRDefault="00A06828" w:rsidP="00382AEA">
            <w:pPr>
              <w:pStyle w:val="NoSpacing"/>
              <w:rPr>
                <w:rFonts w:asciiTheme="minorHAnsi" w:hAnsiTheme="minorHAnsi" w:cstheme="minorHAnsi"/>
                <w:b/>
                <w:bCs/>
              </w:rPr>
            </w:pPr>
            <w:r w:rsidRPr="004F0E5B">
              <w:rPr>
                <w:rFonts w:asciiTheme="minorHAnsi" w:hAnsiTheme="minorHAnsi" w:cstheme="minorHAnsi"/>
                <w:b/>
                <w:bCs/>
              </w:rPr>
              <w:t>Guided</w:t>
            </w:r>
            <w:r w:rsidR="00382AEA" w:rsidRPr="004F0E5B">
              <w:rPr>
                <w:rFonts w:asciiTheme="minorHAnsi" w:hAnsiTheme="minorHAnsi" w:cstheme="minorHAnsi"/>
                <w:b/>
                <w:bCs/>
              </w:rPr>
              <w:t xml:space="preserve"> </w:t>
            </w:r>
            <w:r w:rsidRPr="004F0E5B">
              <w:rPr>
                <w:rFonts w:asciiTheme="minorHAnsi" w:hAnsiTheme="minorHAnsi" w:cstheme="minorHAnsi"/>
                <w:b/>
                <w:bCs/>
              </w:rPr>
              <w:t>Learning Hours (GLH)</w:t>
            </w:r>
          </w:p>
        </w:tc>
        <w:tc>
          <w:tcPr>
            <w:tcW w:w="709" w:type="dxa"/>
            <w:vAlign w:val="center"/>
          </w:tcPr>
          <w:p w14:paraId="4226EF40" w14:textId="6F7D0C0B" w:rsidR="00A06828" w:rsidRPr="004F0E5B" w:rsidRDefault="00382AEA" w:rsidP="00382AEA">
            <w:pPr>
              <w:pStyle w:val="mainbody"/>
              <w:spacing w:line="240" w:lineRule="auto"/>
              <w:jc w:val="center"/>
              <w:rPr>
                <w:rFonts w:cstheme="minorHAnsi"/>
                <w:color w:val="000000" w:themeColor="text1"/>
                <w:sz w:val="20"/>
              </w:rPr>
            </w:pPr>
            <w:r w:rsidRPr="004F0E5B">
              <w:rPr>
                <w:rFonts w:cstheme="minorHAnsi"/>
                <w:color w:val="000000" w:themeColor="text1"/>
                <w:sz w:val="20"/>
              </w:rPr>
              <w:t>54</w:t>
            </w:r>
          </w:p>
        </w:tc>
      </w:tr>
      <w:tr w:rsidR="002638B4" w:rsidRPr="00A7687B" w14:paraId="1AD0892A" w14:textId="77777777" w:rsidTr="00572CC0">
        <w:trPr>
          <w:trHeight w:val="443"/>
        </w:trPr>
        <w:tc>
          <w:tcPr>
            <w:tcW w:w="9923" w:type="dxa"/>
            <w:gridSpan w:val="9"/>
            <w:shd w:val="clear" w:color="auto" w:fill="E2EFD9" w:themeFill="accent6" w:themeFillTint="33"/>
          </w:tcPr>
          <w:p w14:paraId="7110566D" w14:textId="492BB3DE" w:rsidR="002638B4" w:rsidRPr="00A7687B" w:rsidRDefault="002638B4" w:rsidP="002638B4">
            <w:pPr>
              <w:pStyle w:val="mainbody"/>
              <w:spacing w:line="240" w:lineRule="auto"/>
              <w:jc w:val="center"/>
              <w:rPr>
                <w:rFonts w:cstheme="minorHAnsi"/>
                <w:b/>
                <w:bCs/>
                <w:color w:val="000000" w:themeColor="text1"/>
                <w:sz w:val="20"/>
              </w:rPr>
            </w:pPr>
            <w:r w:rsidRPr="00A7687B">
              <w:rPr>
                <w:rFonts w:cstheme="minorHAnsi"/>
                <w:b/>
                <w:bCs/>
                <w:color w:val="000000" w:themeColor="text1"/>
                <w:sz w:val="20"/>
              </w:rPr>
              <w:t>Qualification Mandatory Units</w:t>
            </w:r>
          </w:p>
        </w:tc>
      </w:tr>
      <w:tr w:rsidR="00AF0D3C" w:rsidRPr="00A7687B" w14:paraId="37DD148B" w14:textId="77777777" w:rsidTr="00382AEA">
        <w:trPr>
          <w:trHeight w:val="454"/>
        </w:trPr>
        <w:tc>
          <w:tcPr>
            <w:tcW w:w="1276" w:type="dxa"/>
            <w:vAlign w:val="center"/>
          </w:tcPr>
          <w:p w14:paraId="3CAA7CAA" w14:textId="7B4EE47F" w:rsidR="00AF0D3C" w:rsidRPr="00A7687B" w:rsidRDefault="00E63A4B" w:rsidP="00382AEA">
            <w:pPr>
              <w:pStyle w:val="mainbody"/>
              <w:spacing w:line="240" w:lineRule="auto"/>
              <w:jc w:val="center"/>
              <w:rPr>
                <w:rFonts w:cstheme="minorHAnsi"/>
                <w:b/>
                <w:bCs/>
                <w:color w:val="000000" w:themeColor="text1"/>
                <w:sz w:val="20"/>
              </w:rPr>
            </w:pPr>
            <w:r w:rsidRPr="00A7687B">
              <w:rPr>
                <w:rFonts w:cstheme="minorHAnsi"/>
                <w:b/>
                <w:bCs/>
                <w:color w:val="000000" w:themeColor="text1"/>
                <w:sz w:val="20"/>
              </w:rPr>
              <w:t>Reg No</w:t>
            </w:r>
          </w:p>
        </w:tc>
        <w:tc>
          <w:tcPr>
            <w:tcW w:w="1560" w:type="dxa"/>
            <w:vAlign w:val="center"/>
          </w:tcPr>
          <w:p w14:paraId="7E0D0C09" w14:textId="741DDBF6" w:rsidR="00AF0D3C" w:rsidRPr="00A7687B" w:rsidRDefault="00E63A4B" w:rsidP="00382AEA">
            <w:pPr>
              <w:pStyle w:val="mainbody"/>
              <w:spacing w:line="240" w:lineRule="auto"/>
              <w:jc w:val="center"/>
              <w:rPr>
                <w:rFonts w:cstheme="minorHAnsi"/>
                <w:b/>
                <w:bCs/>
                <w:color w:val="000000" w:themeColor="text1"/>
                <w:sz w:val="20"/>
              </w:rPr>
            </w:pPr>
            <w:r w:rsidRPr="00A7687B">
              <w:rPr>
                <w:rFonts w:cstheme="minorHAnsi"/>
                <w:b/>
                <w:bCs/>
                <w:color w:val="000000" w:themeColor="text1"/>
                <w:sz w:val="20"/>
              </w:rPr>
              <w:t>Internal Ref</w:t>
            </w:r>
          </w:p>
        </w:tc>
        <w:tc>
          <w:tcPr>
            <w:tcW w:w="5244" w:type="dxa"/>
            <w:gridSpan w:val="4"/>
            <w:vAlign w:val="center"/>
          </w:tcPr>
          <w:p w14:paraId="5593BB51" w14:textId="52118C3F" w:rsidR="00AF0D3C" w:rsidRPr="00A7687B" w:rsidRDefault="00AF0D3C" w:rsidP="00382AEA">
            <w:pPr>
              <w:pStyle w:val="mainbody"/>
              <w:spacing w:line="240" w:lineRule="auto"/>
              <w:jc w:val="center"/>
              <w:rPr>
                <w:rFonts w:cstheme="minorHAnsi"/>
                <w:b/>
                <w:bCs/>
                <w:color w:val="000000" w:themeColor="text1"/>
                <w:sz w:val="20"/>
              </w:rPr>
            </w:pPr>
            <w:r w:rsidRPr="00A7687B">
              <w:rPr>
                <w:rFonts w:cstheme="minorHAnsi"/>
                <w:b/>
                <w:bCs/>
                <w:color w:val="000000" w:themeColor="text1"/>
                <w:sz w:val="20"/>
              </w:rPr>
              <w:t>Title</w:t>
            </w:r>
          </w:p>
        </w:tc>
        <w:tc>
          <w:tcPr>
            <w:tcW w:w="851" w:type="dxa"/>
            <w:vAlign w:val="center"/>
          </w:tcPr>
          <w:p w14:paraId="1F85EA9E" w14:textId="77777777" w:rsidR="00AF0D3C" w:rsidRPr="00A7687B" w:rsidRDefault="00AF0D3C" w:rsidP="00382AEA">
            <w:pPr>
              <w:pStyle w:val="mainbody"/>
              <w:spacing w:line="240" w:lineRule="auto"/>
              <w:jc w:val="center"/>
              <w:rPr>
                <w:rFonts w:cstheme="minorHAnsi"/>
                <w:b/>
                <w:bCs/>
                <w:color w:val="000000" w:themeColor="text1"/>
                <w:sz w:val="20"/>
              </w:rPr>
            </w:pPr>
            <w:r w:rsidRPr="00A7687B">
              <w:rPr>
                <w:rFonts w:cstheme="minorHAnsi"/>
                <w:b/>
                <w:bCs/>
                <w:color w:val="000000" w:themeColor="text1"/>
                <w:sz w:val="20"/>
              </w:rPr>
              <w:t>Level</w:t>
            </w:r>
          </w:p>
        </w:tc>
        <w:tc>
          <w:tcPr>
            <w:tcW w:w="992" w:type="dxa"/>
            <w:gridSpan w:val="2"/>
            <w:vAlign w:val="center"/>
          </w:tcPr>
          <w:p w14:paraId="161828AC" w14:textId="742A780D" w:rsidR="00AF0D3C" w:rsidRPr="00A7687B" w:rsidRDefault="00AF0D3C" w:rsidP="00382AEA">
            <w:pPr>
              <w:pStyle w:val="mainbody"/>
              <w:spacing w:line="240" w:lineRule="auto"/>
              <w:jc w:val="center"/>
              <w:rPr>
                <w:rFonts w:cstheme="minorHAnsi"/>
                <w:b/>
                <w:bCs/>
                <w:color w:val="000000" w:themeColor="text1"/>
                <w:sz w:val="20"/>
              </w:rPr>
            </w:pPr>
            <w:r w:rsidRPr="00A7687B">
              <w:rPr>
                <w:rFonts w:cstheme="minorHAnsi"/>
                <w:b/>
                <w:bCs/>
                <w:color w:val="000000" w:themeColor="text1"/>
                <w:sz w:val="20"/>
              </w:rPr>
              <w:t>Credit</w:t>
            </w:r>
          </w:p>
        </w:tc>
      </w:tr>
      <w:tr w:rsidR="00CD7B9B" w:rsidRPr="00A7687B" w14:paraId="1952FAC3" w14:textId="77777777" w:rsidTr="00382AEA">
        <w:trPr>
          <w:trHeight w:val="454"/>
        </w:trPr>
        <w:tc>
          <w:tcPr>
            <w:tcW w:w="1276" w:type="dxa"/>
            <w:vAlign w:val="center"/>
          </w:tcPr>
          <w:p w14:paraId="2A97828D" w14:textId="107A6086"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Y/651/3209</w:t>
            </w:r>
          </w:p>
        </w:tc>
        <w:tc>
          <w:tcPr>
            <w:tcW w:w="1560" w:type="dxa"/>
            <w:vAlign w:val="center"/>
          </w:tcPr>
          <w:p w14:paraId="3E478BD5" w14:textId="41D5AFB9"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L4DRAU1</w:t>
            </w:r>
          </w:p>
        </w:tc>
        <w:tc>
          <w:tcPr>
            <w:tcW w:w="5244" w:type="dxa"/>
            <w:gridSpan w:val="4"/>
            <w:vAlign w:val="bottom"/>
          </w:tcPr>
          <w:p w14:paraId="59CC3049" w14:textId="0E47166F" w:rsidR="00CD7B9B" w:rsidRPr="00A7687B" w:rsidRDefault="00CA3943" w:rsidP="00CD7B9B">
            <w:pPr>
              <w:pStyle w:val="mainbody"/>
              <w:spacing w:line="240" w:lineRule="auto"/>
              <w:jc w:val="left"/>
              <w:rPr>
                <w:rFonts w:cstheme="minorHAnsi"/>
                <w:b/>
                <w:bCs/>
                <w:color w:val="000000" w:themeColor="text1"/>
                <w:sz w:val="20"/>
              </w:rPr>
            </w:pPr>
            <w:r>
              <w:rPr>
                <w:rFonts w:ascii="Calibri" w:hAnsi="Calibri"/>
                <w:color w:val="000000"/>
                <w:szCs w:val="22"/>
              </w:rPr>
              <w:t>U</w:t>
            </w:r>
            <w:r w:rsidR="00CD7B9B">
              <w:rPr>
                <w:rFonts w:ascii="Calibri" w:hAnsi="Calibri"/>
                <w:color w:val="000000"/>
                <w:szCs w:val="22"/>
              </w:rPr>
              <w:t>nderstanding of current BS and PAS standards , their scope, and their application in retrofit projects</w:t>
            </w:r>
          </w:p>
        </w:tc>
        <w:tc>
          <w:tcPr>
            <w:tcW w:w="851" w:type="dxa"/>
            <w:vAlign w:val="center"/>
          </w:tcPr>
          <w:p w14:paraId="09654C6C" w14:textId="1EA1B6F6"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4</w:t>
            </w:r>
          </w:p>
        </w:tc>
        <w:tc>
          <w:tcPr>
            <w:tcW w:w="992" w:type="dxa"/>
            <w:gridSpan w:val="2"/>
            <w:vAlign w:val="center"/>
          </w:tcPr>
          <w:p w14:paraId="0E316DEE" w14:textId="3CF4C28D"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1</w:t>
            </w:r>
          </w:p>
        </w:tc>
      </w:tr>
      <w:tr w:rsidR="00CD7B9B" w:rsidRPr="00A7687B" w14:paraId="04E7CBDB" w14:textId="77777777" w:rsidTr="00382AEA">
        <w:trPr>
          <w:trHeight w:val="454"/>
        </w:trPr>
        <w:tc>
          <w:tcPr>
            <w:tcW w:w="1276" w:type="dxa"/>
            <w:vAlign w:val="center"/>
          </w:tcPr>
          <w:p w14:paraId="4F42DED2" w14:textId="035AE33E"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F/651/3210</w:t>
            </w:r>
          </w:p>
        </w:tc>
        <w:tc>
          <w:tcPr>
            <w:tcW w:w="1560" w:type="dxa"/>
            <w:vAlign w:val="center"/>
          </w:tcPr>
          <w:p w14:paraId="39466522" w14:textId="50CC68DC"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L4DRAU2</w:t>
            </w:r>
          </w:p>
        </w:tc>
        <w:tc>
          <w:tcPr>
            <w:tcW w:w="5244" w:type="dxa"/>
            <w:gridSpan w:val="4"/>
            <w:vAlign w:val="bottom"/>
          </w:tcPr>
          <w:p w14:paraId="5CA2A058" w14:textId="4CDFA79F"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 xml:space="preserve">Evaluating, Recording and Reporting on Residential Properties, including Building Physics, Ventilation, and Retrofit Principles </w:t>
            </w:r>
          </w:p>
        </w:tc>
        <w:tc>
          <w:tcPr>
            <w:tcW w:w="851" w:type="dxa"/>
            <w:vAlign w:val="center"/>
          </w:tcPr>
          <w:p w14:paraId="65EE2563" w14:textId="14D86421"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4</w:t>
            </w:r>
          </w:p>
        </w:tc>
        <w:tc>
          <w:tcPr>
            <w:tcW w:w="992" w:type="dxa"/>
            <w:gridSpan w:val="2"/>
            <w:vAlign w:val="center"/>
          </w:tcPr>
          <w:p w14:paraId="7C1D237F" w14:textId="4C8615B6"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1</w:t>
            </w:r>
          </w:p>
        </w:tc>
      </w:tr>
      <w:tr w:rsidR="00CD7B9B" w:rsidRPr="00A7687B" w14:paraId="606D6349" w14:textId="77777777" w:rsidTr="00382AEA">
        <w:trPr>
          <w:trHeight w:val="454"/>
        </w:trPr>
        <w:tc>
          <w:tcPr>
            <w:tcW w:w="1276" w:type="dxa"/>
            <w:vAlign w:val="center"/>
          </w:tcPr>
          <w:p w14:paraId="02251999" w14:textId="3B2E6796"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H/651/3211</w:t>
            </w:r>
          </w:p>
        </w:tc>
        <w:tc>
          <w:tcPr>
            <w:tcW w:w="1560" w:type="dxa"/>
            <w:vAlign w:val="center"/>
          </w:tcPr>
          <w:p w14:paraId="4743F3E6" w14:textId="7E48C3C0"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L4DRAU3</w:t>
            </w:r>
          </w:p>
        </w:tc>
        <w:tc>
          <w:tcPr>
            <w:tcW w:w="5244" w:type="dxa"/>
            <w:gridSpan w:val="4"/>
            <w:vAlign w:val="bottom"/>
          </w:tcPr>
          <w:p w14:paraId="14F08EA8" w14:textId="488A89EC"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Mastering the Retrofit Assessment Techniques and PAS Compliance to produce assessment reports</w:t>
            </w:r>
          </w:p>
        </w:tc>
        <w:tc>
          <w:tcPr>
            <w:tcW w:w="851" w:type="dxa"/>
            <w:vAlign w:val="center"/>
          </w:tcPr>
          <w:p w14:paraId="6B9D7D2C" w14:textId="4EFBCB25"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4</w:t>
            </w:r>
          </w:p>
        </w:tc>
        <w:tc>
          <w:tcPr>
            <w:tcW w:w="992" w:type="dxa"/>
            <w:gridSpan w:val="2"/>
            <w:vAlign w:val="center"/>
          </w:tcPr>
          <w:p w14:paraId="13D7FF64" w14:textId="2CAD3717"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2</w:t>
            </w:r>
          </w:p>
        </w:tc>
      </w:tr>
      <w:tr w:rsidR="00CD7B9B" w:rsidRPr="00A7687B" w14:paraId="3359241C" w14:textId="77777777" w:rsidTr="00382AEA">
        <w:trPr>
          <w:trHeight w:val="454"/>
        </w:trPr>
        <w:tc>
          <w:tcPr>
            <w:tcW w:w="1276" w:type="dxa"/>
            <w:vAlign w:val="center"/>
          </w:tcPr>
          <w:p w14:paraId="55972025" w14:textId="05D9EF3D"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J/651/3212</w:t>
            </w:r>
          </w:p>
        </w:tc>
        <w:tc>
          <w:tcPr>
            <w:tcW w:w="1560" w:type="dxa"/>
            <w:vAlign w:val="center"/>
          </w:tcPr>
          <w:p w14:paraId="7002256B" w14:textId="14BBBC19"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L4DRAU4</w:t>
            </w:r>
          </w:p>
        </w:tc>
        <w:tc>
          <w:tcPr>
            <w:tcW w:w="5244" w:type="dxa"/>
            <w:gridSpan w:val="4"/>
            <w:vAlign w:val="bottom"/>
          </w:tcPr>
          <w:p w14:paraId="1D626D90" w14:textId="012BC2C2"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Retrofit Planning, Implementation, and Advice in line with PAS guidance</w:t>
            </w:r>
          </w:p>
        </w:tc>
        <w:tc>
          <w:tcPr>
            <w:tcW w:w="851" w:type="dxa"/>
            <w:vAlign w:val="center"/>
          </w:tcPr>
          <w:p w14:paraId="6411F22B" w14:textId="0C272F5F"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4</w:t>
            </w:r>
          </w:p>
        </w:tc>
        <w:tc>
          <w:tcPr>
            <w:tcW w:w="992" w:type="dxa"/>
            <w:gridSpan w:val="2"/>
            <w:vAlign w:val="center"/>
          </w:tcPr>
          <w:p w14:paraId="1F84590E" w14:textId="565103F6"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1</w:t>
            </w:r>
          </w:p>
        </w:tc>
      </w:tr>
      <w:tr w:rsidR="00CD7B9B" w:rsidRPr="00A7687B" w14:paraId="24BEA671" w14:textId="77777777" w:rsidTr="00382AEA">
        <w:trPr>
          <w:trHeight w:val="454"/>
        </w:trPr>
        <w:tc>
          <w:tcPr>
            <w:tcW w:w="1276" w:type="dxa"/>
            <w:vAlign w:val="center"/>
          </w:tcPr>
          <w:p w14:paraId="133E81DF" w14:textId="06DB3E62"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K/651/3213</w:t>
            </w:r>
          </w:p>
        </w:tc>
        <w:tc>
          <w:tcPr>
            <w:tcW w:w="1560" w:type="dxa"/>
            <w:vAlign w:val="center"/>
          </w:tcPr>
          <w:p w14:paraId="60090A3F" w14:textId="23F4E808"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L4DRAU5</w:t>
            </w:r>
          </w:p>
        </w:tc>
        <w:tc>
          <w:tcPr>
            <w:tcW w:w="5244" w:type="dxa"/>
            <w:gridSpan w:val="4"/>
            <w:vAlign w:val="bottom"/>
          </w:tcPr>
          <w:p w14:paraId="55DB029B" w14:textId="05764341"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Retrofit in Historic and Traditional Buildings</w:t>
            </w:r>
          </w:p>
        </w:tc>
        <w:tc>
          <w:tcPr>
            <w:tcW w:w="851" w:type="dxa"/>
            <w:vAlign w:val="center"/>
          </w:tcPr>
          <w:p w14:paraId="4DFFC77A" w14:textId="7D11D3E6"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4</w:t>
            </w:r>
          </w:p>
        </w:tc>
        <w:tc>
          <w:tcPr>
            <w:tcW w:w="992" w:type="dxa"/>
            <w:gridSpan w:val="2"/>
            <w:vAlign w:val="center"/>
          </w:tcPr>
          <w:p w14:paraId="689484FC" w14:textId="2FFB0F19" w:rsidR="00CD7B9B" w:rsidRPr="00A7687B" w:rsidRDefault="00CD7B9B" w:rsidP="00CD7B9B">
            <w:pPr>
              <w:pStyle w:val="mainbody"/>
              <w:spacing w:line="240" w:lineRule="auto"/>
              <w:jc w:val="left"/>
              <w:rPr>
                <w:rFonts w:cstheme="minorHAnsi"/>
                <w:b/>
                <w:bCs/>
                <w:color w:val="000000" w:themeColor="text1"/>
                <w:sz w:val="20"/>
              </w:rPr>
            </w:pPr>
            <w:r>
              <w:rPr>
                <w:rFonts w:ascii="Calibri" w:hAnsi="Calibri"/>
                <w:color w:val="000000"/>
                <w:szCs w:val="22"/>
              </w:rPr>
              <w:t>2</w:t>
            </w:r>
          </w:p>
        </w:tc>
      </w:tr>
      <w:tr w:rsidR="00CD7B9B" w:rsidRPr="00A7687B" w14:paraId="56D4469D" w14:textId="77777777" w:rsidTr="00382AEA">
        <w:trPr>
          <w:trHeight w:val="454"/>
        </w:trPr>
        <w:tc>
          <w:tcPr>
            <w:tcW w:w="1276" w:type="dxa"/>
            <w:vAlign w:val="center"/>
          </w:tcPr>
          <w:p w14:paraId="4D1D5622" w14:textId="24FEC342"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lastRenderedPageBreak/>
              <w:t>L/651/3214</w:t>
            </w:r>
          </w:p>
        </w:tc>
        <w:tc>
          <w:tcPr>
            <w:tcW w:w="1560" w:type="dxa"/>
            <w:vAlign w:val="center"/>
          </w:tcPr>
          <w:p w14:paraId="797E4039" w14:textId="5C95845E"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L4DRAU6</w:t>
            </w:r>
          </w:p>
        </w:tc>
        <w:tc>
          <w:tcPr>
            <w:tcW w:w="5244" w:type="dxa"/>
            <w:gridSpan w:val="4"/>
            <w:vAlign w:val="bottom"/>
          </w:tcPr>
          <w:p w14:paraId="7B72BDCB" w14:textId="6F03F3FB"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Advanced Energy and Ventilation Modelling of Existing Dwellings</w:t>
            </w:r>
          </w:p>
        </w:tc>
        <w:tc>
          <w:tcPr>
            <w:tcW w:w="851" w:type="dxa"/>
            <w:vAlign w:val="center"/>
          </w:tcPr>
          <w:p w14:paraId="7BE814F2" w14:textId="4D7F0554"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4</w:t>
            </w:r>
          </w:p>
        </w:tc>
        <w:tc>
          <w:tcPr>
            <w:tcW w:w="992" w:type="dxa"/>
            <w:gridSpan w:val="2"/>
            <w:vAlign w:val="center"/>
          </w:tcPr>
          <w:p w14:paraId="11788007" w14:textId="1CFC39CA"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1</w:t>
            </w:r>
          </w:p>
        </w:tc>
      </w:tr>
      <w:tr w:rsidR="00CD7B9B" w:rsidRPr="00A7687B" w14:paraId="7854775F" w14:textId="77777777" w:rsidTr="00382AEA">
        <w:trPr>
          <w:trHeight w:val="454"/>
        </w:trPr>
        <w:tc>
          <w:tcPr>
            <w:tcW w:w="1276" w:type="dxa"/>
            <w:vAlign w:val="center"/>
          </w:tcPr>
          <w:p w14:paraId="5CC863C0" w14:textId="05B3E703"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M/651/3215</w:t>
            </w:r>
          </w:p>
        </w:tc>
        <w:tc>
          <w:tcPr>
            <w:tcW w:w="1560" w:type="dxa"/>
            <w:vAlign w:val="center"/>
          </w:tcPr>
          <w:p w14:paraId="0EA7A13B" w14:textId="61B21742"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L4DRAU7</w:t>
            </w:r>
          </w:p>
        </w:tc>
        <w:tc>
          <w:tcPr>
            <w:tcW w:w="5244" w:type="dxa"/>
            <w:gridSpan w:val="4"/>
            <w:vAlign w:val="bottom"/>
          </w:tcPr>
          <w:p w14:paraId="4FE11E2A" w14:textId="08332F86"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Sustainable Materials and Technologies</w:t>
            </w:r>
          </w:p>
        </w:tc>
        <w:tc>
          <w:tcPr>
            <w:tcW w:w="851" w:type="dxa"/>
            <w:vAlign w:val="center"/>
          </w:tcPr>
          <w:p w14:paraId="0A4F00E9" w14:textId="1341BECC"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4</w:t>
            </w:r>
          </w:p>
        </w:tc>
        <w:tc>
          <w:tcPr>
            <w:tcW w:w="992" w:type="dxa"/>
            <w:gridSpan w:val="2"/>
            <w:vAlign w:val="center"/>
          </w:tcPr>
          <w:p w14:paraId="13E2A158" w14:textId="5C41455D" w:rsidR="00CD7B9B" w:rsidRPr="00A7687B" w:rsidRDefault="00CD7B9B" w:rsidP="00CD7B9B">
            <w:pPr>
              <w:pStyle w:val="mainbody"/>
              <w:spacing w:line="240" w:lineRule="auto"/>
              <w:jc w:val="left"/>
              <w:rPr>
                <w:rFonts w:cstheme="minorHAnsi"/>
                <w:color w:val="000000" w:themeColor="text1"/>
                <w:sz w:val="20"/>
              </w:rPr>
            </w:pPr>
            <w:r>
              <w:rPr>
                <w:rFonts w:ascii="Calibri" w:hAnsi="Calibri"/>
                <w:color w:val="000000"/>
                <w:szCs w:val="22"/>
              </w:rPr>
              <w:t>1</w:t>
            </w:r>
          </w:p>
        </w:tc>
      </w:tr>
    </w:tbl>
    <w:p w14:paraId="0ABC40FA" w14:textId="77777777" w:rsidR="00F8693F" w:rsidRPr="00A7687B" w:rsidRDefault="00F8693F" w:rsidP="009C46BB">
      <w:pPr>
        <w:pStyle w:val="Heading1"/>
        <w:rPr>
          <w:rFonts w:cstheme="minorHAnsi"/>
          <w:sz w:val="20"/>
          <w:szCs w:val="20"/>
        </w:rPr>
      </w:pPr>
    </w:p>
    <w:p w14:paraId="232CBFB5" w14:textId="418E4A11" w:rsidR="00530347" w:rsidRPr="00A06828" w:rsidRDefault="00C438DF" w:rsidP="009C46BB">
      <w:pPr>
        <w:pStyle w:val="Heading1"/>
        <w:rPr>
          <w:rFonts w:cstheme="minorHAnsi"/>
          <w:szCs w:val="24"/>
        </w:rPr>
      </w:pPr>
      <w:r w:rsidRPr="00A06828">
        <w:rPr>
          <w:rFonts w:cstheme="minorHAnsi"/>
          <w:szCs w:val="24"/>
        </w:rPr>
        <w:t xml:space="preserve">Assessment  </w:t>
      </w:r>
    </w:p>
    <w:p w14:paraId="553BA0BE" w14:textId="77777777" w:rsidR="009C46BB" w:rsidRPr="00A7687B" w:rsidRDefault="00C438DF" w:rsidP="00326F15">
      <w:pPr>
        <w:pStyle w:val="mainbody"/>
        <w:rPr>
          <w:rFonts w:cstheme="minorHAnsi"/>
          <w:sz w:val="20"/>
        </w:rPr>
      </w:pPr>
      <w:r w:rsidRPr="00A7687B">
        <w:rPr>
          <w:rFonts w:cstheme="minorHAnsi"/>
          <w:sz w:val="20"/>
        </w:rPr>
        <w:t>The qualification must be assessed using the following assessment method:</w:t>
      </w:r>
    </w:p>
    <w:p w14:paraId="163968BB" w14:textId="77777777" w:rsidR="00DC4C7B" w:rsidRPr="00A7687B" w:rsidRDefault="00DC4C7B" w:rsidP="00DC4C7B">
      <w:pPr>
        <w:pStyle w:val="BodyText"/>
      </w:pPr>
    </w:p>
    <w:p w14:paraId="56FC0C1D" w14:textId="457037AD" w:rsidR="003A525B" w:rsidRDefault="004609F4" w:rsidP="004609F4">
      <w:pPr>
        <w:pStyle w:val="mainbody"/>
        <w:numPr>
          <w:ilvl w:val="0"/>
          <w:numId w:val="8"/>
        </w:numPr>
        <w:rPr>
          <w:rFonts w:cstheme="minorHAnsi"/>
          <w:sz w:val="20"/>
        </w:rPr>
      </w:pPr>
      <w:r w:rsidRPr="00A7687B">
        <w:rPr>
          <w:rFonts w:cstheme="minorHAnsi"/>
          <w:sz w:val="20"/>
        </w:rPr>
        <w:t>Portfolio of Evidence</w:t>
      </w:r>
    </w:p>
    <w:p w14:paraId="76EAFEA3" w14:textId="720CFBEB" w:rsidR="00134063" w:rsidRDefault="00134063" w:rsidP="004609F4">
      <w:pPr>
        <w:pStyle w:val="mainbody"/>
        <w:numPr>
          <w:ilvl w:val="0"/>
          <w:numId w:val="8"/>
        </w:numPr>
        <w:rPr>
          <w:rFonts w:cstheme="minorHAnsi"/>
          <w:sz w:val="20"/>
        </w:rPr>
      </w:pPr>
      <w:r>
        <w:rPr>
          <w:rFonts w:cstheme="minorHAnsi"/>
          <w:sz w:val="20"/>
        </w:rPr>
        <w:t>Project, Case Study analysis &amp; Written Assignment</w:t>
      </w:r>
    </w:p>
    <w:p w14:paraId="3C7CB5F0" w14:textId="08BAED19" w:rsidR="00134063" w:rsidRPr="00A7687B" w:rsidRDefault="00134063" w:rsidP="004609F4">
      <w:pPr>
        <w:pStyle w:val="mainbody"/>
        <w:numPr>
          <w:ilvl w:val="0"/>
          <w:numId w:val="8"/>
        </w:numPr>
        <w:rPr>
          <w:rFonts w:cstheme="minorHAnsi"/>
          <w:sz w:val="20"/>
        </w:rPr>
      </w:pPr>
      <w:r>
        <w:rPr>
          <w:rFonts w:cstheme="minorHAnsi"/>
          <w:sz w:val="20"/>
        </w:rPr>
        <w:t xml:space="preserve">Practical Assessment including field survey and report writing </w:t>
      </w:r>
    </w:p>
    <w:p w14:paraId="1CAE2A27" w14:textId="77777777" w:rsidR="00DC4C7B" w:rsidRPr="00A7687B" w:rsidRDefault="00DC4C7B" w:rsidP="00DC4C7B">
      <w:pPr>
        <w:pStyle w:val="BodyText"/>
      </w:pPr>
    </w:p>
    <w:p w14:paraId="315C14FD" w14:textId="58ACE9E4" w:rsidR="009C46BB" w:rsidRPr="00A7687B" w:rsidRDefault="009C46BB" w:rsidP="00326F15">
      <w:pPr>
        <w:pStyle w:val="mainbody"/>
        <w:rPr>
          <w:sz w:val="20"/>
        </w:rPr>
      </w:pPr>
      <w:r w:rsidRPr="00A7687B">
        <w:rPr>
          <w:rFonts w:cstheme="minorHAnsi"/>
          <w:sz w:val="20"/>
        </w:rPr>
        <w:t>Learners are required to achieve all learning outcomes within units of assessment. All assessment is subject to internal quality assurance within approved centres providing this qualification. External quality assurance of assessment and internal quality assurance within approved</w:t>
      </w:r>
      <w:r w:rsidRPr="00A7687B">
        <w:rPr>
          <w:sz w:val="20"/>
        </w:rPr>
        <w:t xml:space="preserve"> centres is provided by GQA Qualifications. </w:t>
      </w:r>
    </w:p>
    <w:p w14:paraId="34855A48" w14:textId="69AD1DC6" w:rsidR="00530347" w:rsidRPr="00A7687B" w:rsidRDefault="00530347" w:rsidP="00326F15">
      <w:pPr>
        <w:pStyle w:val="mainbody"/>
        <w:rPr>
          <w:sz w:val="20"/>
        </w:rPr>
      </w:pPr>
    </w:p>
    <w:sectPr w:rsidR="00530347" w:rsidRPr="00A7687B" w:rsidSect="0082266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05" w:footer="69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C4E2" w14:textId="77777777" w:rsidR="002E1D51" w:rsidRDefault="002E1D51">
      <w:pPr>
        <w:spacing w:after="0" w:line="240" w:lineRule="auto"/>
      </w:pPr>
      <w:r>
        <w:separator/>
      </w:r>
    </w:p>
  </w:endnote>
  <w:endnote w:type="continuationSeparator" w:id="0">
    <w:p w14:paraId="650260C9" w14:textId="77777777" w:rsidR="002E1D51" w:rsidRDefault="002E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7C0B" w14:textId="77777777" w:rsidR="00530347" w:rsidRDefault="00C438DF">
    <w:pPr>
      <w:spacing w:after="0"/>
      <w:ind w:left="0" w:firstLine="0"/>
      <w:jc w:val="left"/>
    </w:pPr>
    <w:r>
      <w:rPr>
        <w:sz w:val="16"/>
      </w:rPr>
      <w:t xml:space="preserve">© Occupational Awards Limited (OAL) 2017                                                                                            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6</w:t>
    </w:r>
    <w:r>
      <w:rPr>
        <w:sz w:val="16"/>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FBC2" w14:textId="77777777" w:rsidR="00530347" w:rsidRDefault="00C438DF" w:rsidP="00326F15">
    <w:pPr>
      <w:spacing w:after="0"/>
      <w:ind w:left="0" w:firstLine="0"/>
      <w:jc w:val="right"/>
    </w:pPr>
    <w:r>
      <w:rPr>
        <w:sz w:val="16"/>
      </w:rPr>
      <w:t xml:space="preserve">Page </w:t>
    </w:r>
    <w:r>
      <w:rPr>
        <w:sz w:val="16"/>
      </w:rPr>
      <w:fldChar w:fldCharType="begin"/>
    </w:r>
    <w:r>
      <w:rPr>
        <w:sz w:val="16"/>
      </w:rPr>
      <w:instrText xml:space="preserve"> PAGE   \* MERGEFORMAT </w:instrText>
    </w:r>
    <w:r>
      <w:rPr>
        <w:sz w:val="16"/>
      </w:rPr>
      <w:fldChar w:fldCharType="separate"/>
    </w:r>
    <w:r w:rsidR="00954E4F">
      <w:rPr>
        <w:noProof/>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54E4F">
      <w:rPr>
        <w:noProof/>
        <w:sz w:val="16"/>
      </w:rPr>
      <w:t>4</w:t>
    </w:r>
    <w:r>
      <w:rPr>
        <w:sz w:val="16"/>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C259" w14:textId="77777777" w:rsidR="00530347" w:rsidRDefault="00C438DF">
    <w:pPr>
      <w:spacing w:after="0"/>
      <w:ind w:left="0" w:firstLine="0"/>
      <w:jc w:val="left"/>
    </w:pPr>
    <w:r>
      <w:rPr>
        <w:sz w:val="16"/>
      </w:rPr>
      <w:t xml:space="preserve">Page </w:t>
    </w:r>
    <w:r>
      <w:rPr>
        <w:sz w:val="16"/>
      </w:rPr>
      <w:fldChar w:fldCharType="begin"/>
    </w:r>
    <w:r>
      <w:rPr>
        <w:sz w:val="16"/>
      </w:rPr>
      <w:instrText xml:space="preserve"> PAGE   \* MERGEFORMAT </w:instrText>
    </w:r>
    <w:r>
      <w:rPr>
        <w:sz w:val="16"/>
      </w:rPr>
      <w:fldChar w:fldCharType="separate"/>
    </w:r>
    <w:r w:rsidR="00954E4F">
      <w:rPr>
        <w:noProof/>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54E4F">
      <w:rPr>
        <w:noProof/>
        <w:sz w:val="16"/>
      </w:rPr>
      <w:t>4</w:t>
    </w:r>
    <w:r>
      <w:rPr>
        <w:sz w:val="16"/>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2854" w14:textId="77777777" w:rsidR="002E1D51" w:rsidRDefault="002E1D51">
      <w:pPr>
        <w:spacing w:after="0" w:line="240" w:lineRule="auto"/>
      </w:pPr>
      <w:r>
        <w:separator/>
      </w:r>
    </w:p>
  </w:footnote>
  <w:footnote w:type="continuationSeparator" w:id="0">
    <w:p w14:paraId="50AAE7F2" w14:textId="77777777" w:rsidR="002E1D51" w:rsidRDefault="002E1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F39A" w14:textId="77777777" w:rsidR="00530347" w:rsidRDefault="00C438DF">
    <w:pPr>
      <w:spacing w:after="0"/>
      <w:ind w:left="-1133" w:right="10796" w:firstLine="0"/>
      <w:jc w:val="left"/>
    </w:pPr>
    <w:r>
      <w:rPr>
        <w:noProof/>
      </w:rPr>
      <w:drawing>
        <wp:anchor distT="0" distB="0" distL="114300" distR="114300" simplePos="0" relativeHeight="251658240" behindDoc="0" locked="0" layoutInCell="1" allowOverlap="0" wp14:anchorId="0EE50270" wp14:editId="029B2F59">
          <wp:simplePos x="0" y="0"/>
          <wp:positionH relativeFrom="page">
            <wp:posOffset>6053455</wp:posOffset>
          </wp:positionH>
          <wp:positionV relativeFrom="page">
            <wp:posOffset>320675</wp:posOffset>
          </wp:positionV>
          <wp:extent cx="1076325" cy="748030"/>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
                  <a:stretch>
                    <a:fillRect/>
                  </a:stretch>
                </pic:blipFill>
                <pic:spPr>
                  <a:xfrm>
                    <a:off x="0" y="0"/>
                    <a:ext cx="1076325" cy="748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0763" w14:textId="77777777" w:rsidR="00530347" w:rsidRDefault="00530347">
    <w:pPr>
      <w:spacing w:after="0"/>
      <w:ind w:left="-1133" w:right="1079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BF1E" w14:textId="77777777" w:rsidR="00530347" w:rsidRDefault="00972840" w:rsidP="00972840">
    <w:pPr>
      <w:tabs>
        <w:tab w:val="left" w:pos="720"/>
        <w:tab w:val="left" w:pos="9035"/>
      </w:tabs>
      <w:spacing w:after="0"/>
      <w:ind w:left="0" w:right="-432" w:firstLine="0"/>
      <w:jc w:val="left"/>
    </w:pPr>
    <w:r>
      <w:rPr>
        <w:noProof/>
      </w:rPr>
      <w:drawing>
        <wp:anchor distT="0" distB="0" distL="114300" distR="114300" simplePos="0" relativeHeight="251661312" behindDoc="0" locked="0" layoutInCell="1" allowOverlap="1" wp14:anchorId="167426B3" wp14:editId="00FD71CE">
          <wp:simplePos x="0" y="0"/>
          <wp:positionH relativeFrom="column">
            <wp:posOffset>5736851</wp:posOffset>
          </wp:positionH>
          <wp:positionV relativeFrom="paragraph">
            <wp:posOffset>-175999</wp:posOffset>
          </wp:positionV>
          <wp:extent cx="932180" cy="670560"/>
          <wp:effectExtent l="0" t="0" r="1270" b="0"/>
          <wp:wrapNone/>
          <wp:docPr id="2" name="Picture 2" descr="g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q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8DF">
      <w:rPr>
        <w:rFonts w:ascii="Calibri" w:eastAsia="Calibri" w:hAnsi="Calibri" w:cs="Calibri"/>
        <w:sz w:val="22"/>
      </w:rPr>
      <w:t xml:space="preserve"> </w:t>
    </w:r>
    <w:r w:rsidR="00C438DF">
      <w:rPr>
        <w:rFonts w:ascii="Calibri" w:eastAsia="Calibri" w:hAnsi="Calibri" w:cs="Calibri"/>
        <w:sz w:val="22"/>
      </w:rPr>
      <w:tab/>
    </w:r>
    <w:r>
      <w:rPr>
        <w:rFonts w:ascii="Calibri" w:eastAsia="Calibri" w:hAnsi="Calibri" w:cs="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FF1"/>
    <w:multiLevelType w:val="hybridMultilevel"/>
    <w:tmpl w:val="A816CFAE"/>
    <w:lvl w:ilvl="0" w:tplc="EC341A72">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B5E7A24">
      <w:start w:val="1"/>
      <w:numFmt w:val="bullet"/>
      <w:lvlText w:val="o"/>
      <w:lvlJc w:val="left"/>
      <w:pPr>
        <w:ind w:left="1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6A3E6C">
      <w:start w:val="1"/>
      <w:numFmt w:val="bullet"/>
      <w:lvlText w:val="▪"/>
      <w:lvlJc w:val="left"/>
      <w:pPr>
        <w:ind w:left="2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0C2C78">
      <w:start w:val="1"/>
      <w:numFmt w:val="bullet"/>
      <w:lvlText w:val="•"/>
      <w:lvlJc w:val="left"/>
      <w:pPr>
        <w:ind w:left="2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B94FA66">
      <w:start w:val="1"/>
      <w:numFmt w:val="bullet"/>
      <w:lvlText w:val="o"/>
      <w:lvlJc w:val="left"/>
      <w:pPr>
        <w:ind w:left="3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4764786">
      <w:start w:val="1"/>
      <w:numFmt w:val="bullet"/>
      <w:lvlText w:val="▪"/>
      <w:lvlJc w:val="left"/>
      <w:pPr>
        <w:ind w:left="4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6FCB5EA">
      <w:start w:val="1"/>
      <w:numFmt w:val="bullet"/>
      <w:lvlText w:val="•"/>
      <w:lvlJc w:val="left"/>
      <w:pPr>
        <w:ind w:left="5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DE68558">
      <w:start w:val="1"/>
      <w:numFmt w:val="bullet"/>
      <w:lvlText w:val="o"/>
      <w:lvlJc w:val="left"/>
      <w:pPr>
        <w:ind w:left="58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718FFA8">
      <w:start w:val="1"/>
      <w:numFmt w:val="bullet"/>
      <w:lvlText w:val="▪"/>
      <w:lvlJc w:val="left"/>
      <w:pPr>
        <w:ind w:left="65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E70663"/>
    <w:multiLevelType w:val="hybridMultilevel"/>
    <w:tmpl w:val="4F2A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A5699"/>
    <w:multiLevelType w:val="singleLevel"/>
    <w:tmpl w:val="D1F06206"/>
    <w:lvl w:ilvl="0">
      <w:start w:val="1"/>
      <w:numFmt w:val="bullet"/>
      <w:pStyle w:val="bullet"/>
      <w:lvlText w:val=""/>
      <w:lvlJc w:val="left"/>
      <w:pPr>
        <w:tabs>
          <w:tab w:val="num" w:pos="360"/>
        </w:tabs>
        <w:ind w:left="240" w:hanging="240"/>
      </w:pPr>
      <w:rPr>
        <w:rFonts w:ascii="Symbol" w:hAnsi="Symbol" w:hint="default"/>
      </w:rPr>
    </w:lvl>
  </w:abstractNum>
  <w:abstractNum w:abstractNumId="3" w15:restartNumberingAfterBreak="0">
    <w:nsid w:val="19382810"/>
    <w:multiLevelType w:val="hybridMultilevel"/>
    <w:tmpl w:val="2F5C63D2"/>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4" w15:restartNumberingAfterBreak="0">
    <w:nsid w:val="1DC13D2B"/>
    <w:multiLevelType w:val="hybridMultilevel"/>
    <w:tmpl w:val="D8CA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C380F"/>
    <w:multiLevelType w:val="hybridMultilevel"/>
    <w:tmpl w:val="05341688"/>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F099B"/>
    <w:multiLevelType w:val="hybridMultilevel"/>
    <w:tmpl w:val="7EDE8DE6"/>
    <w:lvl w:ilvl="0" w:tplc="AEFED38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251B3"/>
    <w:multiLevelType w:val="hybridMultilevel"/>
    <w:tmpl w:val="3342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C1042"/>
    <w:multiLevelType w:val="hybridMultilevel"/>
    <w:tmpl w:val="ACB4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628E5"/>
    <w:multiLevelType w:val="hybridMultilevel"/>
    <w:tmpl w:val="3E00D7E0"/>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42C4A"/>
    <w:multiLevelType w:val="hybridMultilevel"/>
    <w:tmpl w:val="9CE2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1058D"/>
    <w:multiLevelType w:val="hybridMultilevel"/>
    <w:tmpl w:val="55A036E6"/>
    <w:lvl w:ilvl="0" w:tplc="91C01EBC">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2FC4">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A27F1C">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D23600">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48C814">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2C30B2">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2235F6">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27F52">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1ED55C">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B3C0878"/>
    <w:multiLevelType w:val="hybridMultilevel"/>
    <w:tmpl w:val="61CA075A"/>
    <w:lvl w:ilvl="0" w:tplc="F39AE7A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B63C2"/>
    <w:multiLevelType w:val="hybridMultilevel"/>
    <w:tmpl w:val="856AB006"/>
    <w:lvl w:ilvl="0" w:tplc="6EF06B66">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F65ED"/>
    <w:multiLevelType w:val="hybridMultilevel"/>
    <w:tmpl w:val="A1D26816"/>
    <w:lvl w:ilvl="0" w:tplc="AEFED38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5A671C"/>
    <w:multiLevelType w:val="hybridMultilevel"/>
    <w:tmpl w:val="F74220AC"/>
    <w:lvl w:ilvl="0" w:tplc="D8C0F6D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52001"/>
    <w:multiLevelType w:val="hybridMultilevel"/>
    <w:tmpl w:val="EEC0D8BA"/>
    <w:lvl w:ilvl="0" w:tplc="00F8859E">
      <w:start w:val="1"/>
      <w:numFmt w:val="decimal"/>
      <w:lvlText w:val="%1."/>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3B2DE8A">
      <w:start w:val="1"/>
      <w:numFmt w:val="lowerLetter"/>
      <w:lvlText w:val="%2"/>
      <w:lvlJc w:val="left"/>
      <w:pPr>
        <w:ind w:left="14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510AEFA">
      <w:start w:val="1"/>
      <w:numFmt w:val="lowerRoman"/>
      <w:lvlText w:val="%3"/>
      <w:lvlJc w:val="left"/>
      <w:pPr>
        <w:ind w:left="21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EA86FB2">
      <w:start w:val="1"/>
      <w:numFmt w:val="decimal"/>
      <w:lvlText w:val="%4"/>
      <w:lvlJc w:val="left"/>
      <w:pPr>
        <w:ind w:left="28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F4C5A78">
      <w:start w:val="1"/>
      <w:numFmt w:val="lowerLetter"/>
      <w:lvlText w:val="%5"/>
      <w:lvlJc w:val="left"/>
      <w:pPr>
        <w:ind w:left="3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6A87AB2">
      <w:start w:val="1"/>
      <w:numFmt w:val="lowerRoman"/>
      <w:lvlText w:val="%6"/>
      <w:lvlJc w:val="left"/>
      <w:pPr>
        <w:ind w:left="4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7880E4A">
      <w:start w:val="1"/>
      <w:numFmt w:val="decimal"/>
      <w:lvlText w:val="%7"/>
      <w:lvlJc w:val="left"/>
      <w:pPr>
        <w:ind w:left="50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F6AB00A">
      <w:start w:val="1"/>
      <w:numFmt w:val="lowerLetter"/>
      <w:lvlText w:val="%8"/>
      <w:lvlJc w:val="left"/>
      <w:pPr>
        <w:ind w:left="57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3966A2A">
      <w:start w:val="1"/>
      <w:numFmt w:val="lowerRoman"/>
      <w:lvlText w:val="%9"/>
      <w:lvlJc w:val="left"/>
      <w:pPr>
        <w:ind w:left="64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6328E2"/>
    <w:multiLevelType w:val="hybridMultilevel"/>
    <w:tmpl w:val="4CFA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97AEB"/>
    <w:multiLevelType w:val="hybridMultilevel"/>
    <w:tmpl w:val="A932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CE06D0"/>
    <w:multiLevelType w:val="hybridMultilevel"/>
    <w:tmpl w:val="1E6A19C4"/>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76007"/>
    <w:multiLevelType w:val="hybridMultilevel"/>
    <w:tmpl w:val="66EC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17012"/>
    <w:multiLevelType w:val="hybridMultilevel"/>
    <w:tmpl w:val="55D66C36"/>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2" w15:restartNumberingAfterBreak="0">
    <w:nsid w:val="753416A2"/>
    <w:multiLevelType w:val="hybridMultilevel"/>
    <w:tmpl w:val="05C6FECA"/>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107B7"/>
    <w:multiLevelType w:val="hybridMultilevel"/>
    <w:tmpl w:val="1D5A463C"/>
    <w:lvl w:ilvl="0" w:tplc="9B1E640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06BD0"/>
    <w:multiLevelType w:val="hybridMultilevel"/>
    <w:tmpl w:val="9C447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7044292">
    <w:abstractNumId w:val="0"/>
  </w:num>
  <w:num w:numId="2" w16cid:durableId="99030013">
    <w:abstractNumId w:val="11"/>
  </w:num>
  <w:num w:numId="3" w16cid:durableId="192812043">
    <w:abstractNumId w:val="16"/>
  </w:num>
  <w:num w:numId="4" w16cid:durableId="1642466116">
    <w:abstractNumId w:val="21"/>
  </w:num>
  <w:num w:numId="5" w16cid:durableId="117115345">
    <w:abstractNumId w:val="3"/>
  </w:num>
  <w:num w:numId="6" w16cid:durableId="579876116">
    <w:abstractNumId w:val="1"/>
  </w:num>
  <w:num w:numId="7" w16cid:durableId="1526479621">
    <w:abstractNumId w:val="20"/>
  </w:num>
  <w:num w:numId="8" w16cid:durableId="705443861">
    <w:abstractNumId w:val="4"/>
  </w:num>
  <w:num w:numId="9" w16cid:durableId="1680502164">
    <w:abstractNumId w:val="10"/>
  </w:num>
  <w:num w:numId="10" w16cid:durableId="1154639185">
    <w:abstractNumId w:val="14"/>
  </w:num>
  <w:num w:numId="11" w16cid:durableId="27142407">
    <w:abstractNumId w:val="6"/>
  </w:num>
  <w:num w:numId="12" w16cid:durableId="1025131092">
    <w:abstractNumId w:val="18"/>
  </w:num>
  <w:num w:numId="13" w16cid:durableId="1467045503">
    <w:abstractNumId w:val="13"/>
  </w:num>
  <w:num w:numId="14" w16cid:durableId="1948536475">
    <w:abstractNumId w:val="8"/>
  </w:num>
  <w:num w:numId="15" w16cid:durableId="210390243">
    <w:abstractNumId w:val="15"/>
  </w:num>
  <w:num w:numId="16" w16cid:durableId="1153329927">
    <w:abstractNumId w:val="7"/>
  </w:num>
  <w:num w:numId="17" w16cid:durableId="1112357444">
    <w:abstractNumId w:val="5"/>
  </w:num>
  <w:num w:numId="18" w16cid:durableId="1051422304">
    <w:abstractNumId w:val="19"/>
  </w:num>
  <w:num w:numId="19" w16cid:durableId="1869904885">
    <w:abstractNumId w:val="9"/>
  </w:num>
  <w:num w:numId="20" w16cid:durableId="1173380312">
    <w:abstractNumId w:val="22"/>
  </w:num>
  <w:num w:numId="21" w16cid:durableId="1124039026">
    <w:abstractNumId w:val="17"/>
  </w:num>
  <w:num w:numId="22" w16cid:durableId="2014411814">
    <w:abstractNumId w:val="12"/>
  </w:num>
  <w:num w:numId="23" w16cid:durableId="1188761659">
    <w:abstractNumId w:val="23"/>
  </w:num>
  <w:num w:numId="24" w16cid:durableId="907836894">
    <w:abstractNumId w:val="24"/>
  </w:num>
  <w:num w:numId="25" w16cid:durableId="1017387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47"/>
    <w:rsid w:val="00002564"/>
    <w:rsid w:val="000029C4"/>
    <w:rsid w:val="00004DDB"/>
    <w:rsid w:val="00007195"/>
    <w:rsid w:val="00014104"/>
    <w:rsid w:val="0001741E"/>
    <w:rsid w:val="00022D2E"/>
    <w:rsid w:val="00023606"/>
    <w:rsid w:val="000332CC"/>
    <w:rsid w:val="0004336B"/>
    <w:rsid w:val="000446D4"/>
    <w:rsid w:val="0004691F"/>
    <w:rsid w:val="000504A6"/>
    <w:rsid w:val="00053792"/>
    <w:rsid w:val="0006588A"/>
    <w:rsid w:val="00066F9D"/>
    <w:rsid w:val="00067D8E"/>
    <w:rsid w:val="00070965"/>
    <w:rsid w:val="00070C2E"/>
    <w:rsid w:val="00071109"/>
    <w:rsid w:val="00071457"/>
    <w:rsid w:val="00091A0E"/>
    <w:rsid w:val="000927BA"/>
    <w:rsid w:val="00093096"/>
    <w:rsid w:val="000A0D33"/>
    <w:rsid w:val="000B0A4F"/>
    <w:rsid w:val="000B455E"/>
    <w:rsid w:val="000B6D77"/>
    <w:rsid w:val="000B6FCD"/>
    <w:rsid w:val="000C1703"/>
    <w:rsid w:val="000C3B83"/>
    <w:rsid w:val="000C4A99"/>
    <w:rsid w:val="000C5F1E"/>
    <w:rsid w:val="000D1149"/>
    <w:rsid w:val="000D459B"/>
    <w:rsid w:val="000D5162"/>
    <w:rsid w:val="000F1168"/>
    <w:rsid w:val="000F1642"/>
    <w:rsid w:val="000F2583"/>
    <w:rsid w:val="000F2875"/>
    <w:rsid w:val="000F3794"/>
    <w:rsid w:val="000F6B10"/>
    <w:rsid w:val="00102C14"/>
    <w:rsid w:val="00105947"/>
    <w:rsid w:val="00106037"/>
    <w:rsid w:val="00106AC4"/>
    <w:rsid w:val="00106DD2"/>
    <w:rsid w:val="00107A0A"/>
    <w:rsid w:val="00122A92"/>
    <w:rsid w:val="00131996"/>
    <w:rsid w:val="00131D8F"/>
    <w:rsid w:val="00133A94"/>
    <w:rsid w:val="00134063"/>
    <w:rsid w:val="00134CBE"/>
    <w:rsid w:val="00143D98"/>
    <w:rsid w:val="0014481F"/>
    <w:rsid w:val="0014556C"/>
    <w:rsid w:val="00151DA3"/>
    <w:rsid w:val="00164799"/>
    <w:rsid w:val="00170195"/>
    <w:rsid w:val="00172A83"/>
    <w:rsid w:val="00185E3A"/>
    <w:rsid w:val="001861CB"/>
    <w:rsid w:val="00187B54"/>
    <w:rsid w:val="00190C2A"/>
    <w:rsid w:val="001923C1"/>
    <w:rsid w:val="001965AC"/>
    <w:rsid w:val="001970E5"/>
    <w:rsid w:val="0019730A"/>
    <w:rsid w:val="001B4B75"/>
    <w:rsid w:val="001B7284"/>
    <w:rsid w:val="001C3C8C"/>
    <w:rsid w:val="001C5460"/>
    <w:rsid w:val="001C7023"/>
    <w:rsid w:val="001C7890"/>
    <w:rsid w:val="001D12BE"/>
    <w:rsid w:val="001D3977"/>
    <w:rsid w:val="001D57FF"/>
    <w:rsid w:val="001E2780"/>
    <w:rsid w:val="001E343D"/>
    <w:rsid w:val="001E41BE"/>
    <w:rsid w:val="001E7791"/>
    <w:rsid w:val="001F17A7"/>
    <w:rsid w:val="0020180D"/>
    <w:rsid w:val="002024F1"/>
    <w:rsid w:val="00204734"/>
    <w:rsid w:val="0020582A"/>
    <w:rsid w:val="00205FBE"/>
    <w:rsid w:val="00215488"/>
    <w:rsid w:val="00233209"/>
    <w:rsid w:val="0023354F"/>
    <w:rsid w:val="00245348"/>
    <w:rsid w:val="00245BE7"/>
    <w:rsid w:val="0024602B"/>
    <w:rsid w:val="00246496"/>
    <w:rsid w:val="002638B4"/>
    <w:rsid w:val="00264B4F"/>
    <w:rsid w:val="00270383"/>
    <w:rsid w:val="0027141B"/>
    <w:rsid w:val="00272982"/>
    <w:rsid w:val="0027473E"/>
    <w:rsid w:val="002908EE"/>
    <w:rsid w:val="002A2C32"/>
    <w:rsid w:val="002B587E"/>
    <w:rsid w:val="002D6811"/>
    <w:rsid w:val="002E1D51"/>
    <w:rsid w:val="002E259E"/>
    <w:rsid w:val="002E545C"/>
    <w:rsid w:val="002E63BE"/>
    <w:rsid w:val="002E6BA4"/>
    <w:rsid w:val="002F0F84"/>
    <w:rsid w:val="002F72DF"/>
    <w:rsid w:val="00301812"/>
    <w:rsid w:val="00302D22"/>
    <w:rsid w:val="00313A6F"/>
    <w:rsid w:val="003172FC"/>
    <w:rsid w:val="00321C83"/>
    <w:rsid w:val="00323326"/>
    <w:rsid w:val="003240B0"/>
    <w:rsid w:val="00326CD5"/>
    <w:rsid w:val="00326F15"/>
    <w:rsid w:val="00332A18"/>
    <w:rsid w:val="00332BD0"/>
    <w:rsid w:val="00336305"/>
    <w:rsid w:val="003369FD"/>
    <w:rsid w:val="0033776B"/>
    <w:rsid w:val="00340825"/>
    <w:rsid w:val="0034181E"/>
    <w:rsid w:val="003435B4"/>
    <w:rsid w:val="0034372A"/>
    <w:rsid w:val="003521E3"/>
    <w:rsid w:val="00356A0E"/>
    <w:rsid w:val="0036023D"/>
    <w:rsid w:val="00363B02"/>
    <w:rsid w:val="0036557C"/>
    <w:rsid w:val="0036706C"/>
    <w:rsid w:val="003716B1"/>
    <w:rsid w:val="00381069"/>
    <w:rsid w:val="00382AEA"/>
    <w:rsid w:val="00383149"/>
    <w:rsid w:val="00383FF6"/>
    <w:rsid w:val="00386B4C"/>
    <w:rsid w:val="003874D0"/>
    <w:rsid w:val="003902E2"/>
    <w:rsid w:val="00390ADF"/>
    <w:rsid w:val="00395B53"/>
    <w:rsid w:val="003A1DFC"/>
    <w:rsid w:val="003A2D71"/>
    <w:rsid w:val="003A525B"/>
    <w:rsid w:val="003A6805"/>
    <w:rsid w:val="003A69F1"/>
    <w:rsid w:val="003B1225"/>
    <w:rsid w:val="003B37F5"/>
    <w:rsid w:val="003B3D34"/>
    <w:rsid w:val="003B4C52"/>
    <w:rsid w:val="003B7A13"/>
    <w:rsid w:val="003C4A81"/>
    <w:rsid w:val="003D65CC"/>
    <w:rsid w:val="003D7B30"/>
    <w:rsid w:val="003E0535"/>
    <w:rsid w:val="003E15A1"/>
    <w:rsid w:val="003E44D3"/>
    <w:rsid w:val="003E580D"/>
    <w:rsid w:val="003E746B"/>
    <w:rsid w:val="003F1A03"/>
    <w:rsid w:val="003F27A6"/>
    <w:rsid w:val="003F7DAE"/>
    <w:rsid w:val="003F7EB9"/>
    <w:rsid w:val="0040341D"/>
    <w:rsid w:val="00412C84"/>
    <w:rsid w:val="004139F4"/>
    <w:rsid w:val="00421419"/>
    <w:rsid w:val="00450496"/>
    <w:rsid w:val="004609F4"/>
    <w:rsid w:val="004619FE"/>
    <w:rsid w:val="004679D1"/>
    <w:rsid w:val="00481699"/>
    <w:rsid w:val="00486F4B"/>
    <w:rsid w:val="0049109B"/>
    <w:rsid w:val="00493B69"/>
    <w:rsid w:val="004A6480"/>
    <w:rsid w:val="004B0612"/>
    <w:rsid w:val="004C008A"/>
    <w:rsid w:val="004C0101"/>
    <w:rsid w:val="004C3331"/>
    <w:rsid w:val="004C788F"/>
    <w:rsid w:val="004F0E5B"/>
    <w:rsid w:val="004F34A2"/>
    <w:rsid w:val="00503B37"/>
    <w:rsid w:val="005057B3"/>
    <w:rsid w:val="00512C21"/>
    <w:rsid w:val="00520479"/>
    <w:rsid w:val="0052517F"/>
    <w:rsid w:val="00530347"/>
    <w:rsid w:val="00532C37"/>
    <w:rsid w:val="00536943"/>
    <w:rsid w:val="00540EC1"/>
    <w:rsid w:val="00544A7A"/>
    <w:rsid w:val="00551665"/>
    <w:rsid w:val="0055335D"/>
    <w:rsid w:val="00562FFD"/>
    <w:rsid w:val="0056743D"/>
    <w:rsid w:val="00572922"/>
    <w:rsid w:val="0057401B"/>
    <w:rsid w:val="00574566"/>
    <w:rsid w:val="00577163"/>
    <w:rsid w:val="0057747B"/>
    <w:rsid w:val="00581391"/>
    <w:rsid w:val="00583017"/>
    <w:rsid w:val="00583374"/>
    <w:rsid w:val="00585AAB"/>
    <w:rsid w:val="00594B7E"/>
    <w:rsid w:val="005A30A0"/>
    <w:rsid w:val="005A379A"/>
    <w:rsid w:val="005A6093"/>
    <w:rsid w:val="005B0D00"/>
    <w:rsid w:val="005B2174"/>
    <w:rsid w:val="005B532E"/>
    <w:rsid w:val="005B6EA3"/>
    <w:rsid w:val="005C098A"/>
    <w:rsid w:val="005C318C"/>
    <w:rsid w:val="005C4AC5"/>
    <w:rsid w:val="005C4DD7"/>
    <w:rsid w:val="005D75B5"/>
    <w:rsid w:val="005E1BAB"/>
    <w:rsid w:val="005E47C4"/>
    <w:rsid w:val="005F051A"/>
    <w:rsid w:val="005F053E"/>
    <w:rsid w:val="005F0E9B"/>
    <w:rsid w:val="005F439D"/>
    <w:rsid w:val="005F48DA"/>
    <w:rsid w:val="005F7ABF"/>
    <w:rsid w:val="00607C22"/>
    <w:rsid w:val="00612BD4"/>
    <w:rsid w:val="00624F4B"/>
    <w:rsid w:val="006305EC"/>
    <w:rsid w:val="00631A6D"/>
    <w:rsid w:val="006441BA"/>
    <w:rsid w:val="006465C4"/>
    <w:rsid w:val="00646F10"/>
    <w:rsid w:val="006515EA"/>
    <w:rsid w:val="00652C1F"/>
    <w:rsid w:val="00654B9A"/>
    <w:rsid w:val="006573D9"/>
    <w:rsid w:val="006670AA"/>
    <w:rsid w:val="006704D9"/>
    <w:rsid w:val="00684F76"/>
    <w:rsid w:val="00686EE0"/>
    <w:rsid w:val="00692521"/>
    <w:rsid w:val="0069383A"/>
    <w:rsid w:val="00693EBA"/>
    <w:rsid w:val="006946A8"/>
    <w:rsid w:val="006A1770"/>
    <w:rsid w:val="006A17C7"/>
    <w:rsid w:val="006A6792"/>
    <w:rsid w:val="006B1EB7"/>
    <w:rsid w:val="006B30C6"/>
    <w:rsid w:val="006B481B"/>
    <w:rsid w:val="006B57C0"/>
    <w:rsid w:val="006B5A69"/>
    <w:rsid w:val="006B65DB"/>
    <w:rsid w:val="006B684F"/>
    <w:rsid w:val="006C7217"/>
    <w:rsid w:val="006D0971"/>
    <w:rsid w:val="006D3D80"/>
    <w:rsid w:val="006D4B71"/>
    <w:rsid w:val="006E0029"/>
    <w:rsid w:val="006E6B41"/>
    <w:rsid w:val="006F1543"/>
    <w:rsid w:val="006F172B"/>
    <w:rsid w:val="006F182B"/>
    <w:rsid w:val="006F4E39"/>
    <w:rsid w:val="006F4E9F"/>
    <w:rsid w:val="006F59FB"/>
    <w:rsid w:val="006F6212"/>
    <w:rsid w:val="00700390"/>
    <w:rsid w:val="007004AE"/>
    <w:rsid w:val="00706DA9"/>
    <w:rsid w:val="00745404"/>
    <w:rsid w:val="00747D8A"/>
    <w:rsid w:val="007563D4"/>
    <w:rsid w:val="0076139A"/>
    <w:rsid w:val="0076252D"/>
    <w:rsid w:val="00765D04"/>
    <w:rsid w:val="00766C39"/>
    <w:rsid w:val="00767C37"/>
    <w:rsid w:val="00777A5D"/>
    <w:rsid w:val="00777A65"/>
    <w:rsid w:val="0078088B"/>
    <w:rsid w:val="00784776"/>
    <w:rsid w:val="00785781"/>
    <w:rsid w:val="00785D73"/>
    <w:rsid w:val="00790F63"/>
    <w:rsid w:val="00796AA7"/>
    <w:rsid w:val="007A2514"/>
    <w:rsid w:val="007A373E"/>
    <w:rsid w:val="007A52B3"/>
    <w:rsid w:val="007A7E4E"/>
    <w:rsid w:val="007B07A6"/>
    <w:rsid w:val="007B1B55"/>
    <w:rsid w:val="007B1D8F"/>
    <w:rsid w:val="007B747D"/>
    <w:rsid w:val="007C3EAA"/>
    <w:rsid w:val="007D21EA"/>
    <w:rsid w:val="007D3B57"/>
    <w:rsid w:val="007D3CAA"/>
    <w:rsid w:val="007D5D00"/>
    <w:rsid w:val="007D73B0"/>
    <w:rsid w:val="007E0AED"/>
    <w:rsid w:val="007E28DA"/>
    <w:rsid w:val="007F7D06"/>
    <w:rsid w:val="00800159"/>
    <w:rsid w:val="00811903"/>
    <w:rsid w:val="00816924"/>
    <w:rsid w:val="0082266B"/>
    <w:rsid w:val="00823C94"/>
    <w:rsid w:val="00827E42"/>
    <w:rsid w:val="008377CB"/>
    <w:rsid w:val="00864665"/>
    <w:rsid w:val="00865010"/>
    <w:rsid w:val="00872E03"/>
    <w:rsid w:val="00877149"/>
    <w:rsid w:val="00877C2B"/>
    <w:rsid w:val="00880070"/>
    <w:rsid w:val="0088470B"/>
    <w:rsid w:val="00884967"/>
    <w:rsid w:val="008A0A1F"/>
    <w:rsid w:val="008B33EB"/>
    <w:rsid w:val="008B3D57"/>
    <w:rsid w:val="008B53F2"/>
    <w:rsid w:val="008B76AD"/>
    <w:rsid w:val="008C3F5C"/>
    <w:rsid w:val="008C4084"/>
    <w:rsid w:val="008D0A3F"/>
    <w:rsid w:val="008D7AD7"/>
    <w:rsid w:val="008E2A9E"/>
    <w:rsid w:val="008E7AAF"/>
    <w:rsid w:val="008F1553"/>
    <w:rsid w:val="008F1B2A"/>
    <w:rsid w:val="008F489C"/>
    <w:rsid w:val="008F64AC"/>
    <w:rsid w:val="008F797C"/>
    <w:rsid w:val="0090075F"/>
    <w:rsid w:val="00901060"/>
    <w:rsid w:val="00914089"/>
    <w:rsid w:val="0091749E"/>
    <w:rsid w:val="009342AB"/>
    <w:rsid w:val="00936BE9"/>
    <w:rsid w:val="009373EF"/>
    <w:rsid w:val="009408F0"/>
    <w:rsid w:val="00941F52"/>
    <w:rsid w:val="0094305C"/>
    <w:rsid w:val="00945496"/>
    <w:rsid w:val="00953AB9"/>
    <w:rsid w:val="00954E4F"/>
    <w:rsid w:val="009554CF"/>
    <w:rsid w:val="00961063"/>
    <w:rsid w:val="009635DE"/>
    <w:rsid w:val="00963D12"/>
    <w:rsid w:val="00966218"/>
    <w:rsid w:val="00972840"/>
    <w:rsid w:val="009757A2"/>
    <w:rsid w:val="00975FA7"/>
    <w:rsid w:val="00981BDE"/>
    <w:rsid w:val="00983A3F"/>
    <w:rsid w:val="00984138"/>
    <w:rsid w:val="00986D5C"/>
    <w:rsid w:val="00992C15"/>
    <w:rsid w:val="00993392"/>
    <w:rsid w:val="009933F3"/>
    <w:rsid w:val="00994911"/>
    <w:rsid w:val="009971A8"/>
    <w:rsid w:val="009A3258"/>
    <w:rsid w:val="009A45CD"/>
    <w:rsid w:val="009B680D"/>
    <w:rsid w:val="009C03A9"/>
    <w:rsid w:val="009C25C3"/>
    <w:rsid w:val="009C46BB"/>
    <w:rsid w:val="009E2FD5"/>
    <w:rsid w:val="009E4AFE"/>
    <w:rsid w:val="009E791F"/>
    <w:rsid w:val="009F14DC"/>
    <w:rsid w:val="009F6521"/>
    <w:rsid w:val="00A035E6"/>
    <w:rsid w:val="00A043E9"/>
    <w:rsid w:val="00A057A8"/>
    <w:rsid w:val="00A06828"/>
    <w:rsid w:val="00A1191F"/>
    <w:rsid w:val="00A13EF1"/>
    <w:rsid w:val="00A15B60"/>
    <w:rsid w:val="00A26AED"/>
    <w:rsid w:val="00A309B6"/>
    <w:rsid w:val="00A33A85"/>
    <w:rsid w:val="00A438E3"/>
    <w:rsid w:val="00A465CE"/>
    <w:rsid w:val="00A5018A"/>
    <w:rsid w:val="00A5046A"/>
    <w:rsid w:val="00A55E01"/>
    <w:rsid w:val="00A574EB"/>
    <w:rsid w:val="00A60E38"/>
    <w:rsid w:val="00A64323"/>
    <w:rsid w:val="00A65A51"/>
    <w:rsid w:val="00A723F8"/>
    <w:rsid w:val="00A75A9B"/>
    <w:rsid w:val="00A7687B"/>
    <w:rsid w:val="00A76DCB"/>
    <w:rsid w:val="00A802A3"/>
    <w:rsid w:val="00A816F4"/>
    <w:rsid w:val="00A8473B"/>
    <w:rsid w:val="00A92EBF"/>
    <w:rsid w:val="00AA302E"/>
    <w:rsid w:val="00AA5EE6"/>
    <w:rsid w:val="00AA62CD"/>
    <w:rsid w:val="00AB1807"/>
    <w:rsid w:val="00AC0AE3"/>
    <w:rsid w:val="00AC5090"/>
    <w:rsid w:val="00AD18A3"/>
    <w:rsid w:val="00AD785C"/>
    <w:rsid w:val="00AE6151"/>
    <w:rsid w:val="00AE7082"/>
    <w:rsid w:val="00AF0D3C"/>
    <w:rsid w:val="00AF148E"/>
    <w:rsid w:val="00B06065"/>
    <w:rsid w:val="00B06321"/>
    <w:rsid w:val="00B07C13"/>
    <w:rsid w:val="00B11B22"/>
    <w:rsid w:val="00B128D5"/>
    <w:rsid w:val="00B1501E"/>
    <w:rsid w:val="00B217D6"/>
    <w:rsid w:val="00B239C8"/>
    <w:rsid w:val="00B2587A"/>
    <w:rsid w:val="00B34FE0"/>
    <w:rsid w:val="00B35202"/>
    <w:rsid w:val="00B36E20"/>
    <w:rsid w:val="00B37AA8"/>
    <w:rsid w:val="00B408C2"/>
    <w:rsid w:val="00B43D5C"/>
    <w:rsid w:val="00B50C6C"/>
    <w:rsid w:val="00B51435"/>
    <w:rsid w:val="00B5238A"/>
    <w:rsid w:val="00B52FB4"/>
    <w:rsid w:val="00B55EE1"/>
    <w:rsid w:val="00B63670"/>
    <w:rsid w:val="00B8023C"/>
    <w:rsid w:val="00B92666"/>
    <w:rsid w:val="00B957AE"/>
    <w:rsid w:val="00B95CAF"/>
    <w:rsid w:val="00BA2083"/>
    <w:rsid w:val="00BA2D2F"/>
    <w:rsid w:val="00BA351F"/>
    <w:rsid w:val="00BB2B93"/>
    <w:rsid w:val="00BB5373"/>
    <w:rsid w:val="00BC1C78"/>
    <w:rsid w:val="00BC4702"/>
    <w:rsid w:val="00BC6742"/>
    <w:rsid w:val="00BD346E"/>
    <w:rsid w:val="00BD6F0E"/>
    <w:rsid w:val="00BE2993"/>
    <w:rsid w:val="00BF1816"/>
    <w:rsid w:val="00BF4D0E"/>
    <w:rsid w:val="00BF7710"/>
    <w:rsid w:val="00BF7DF0"/>
    <w:rsid w:val="00C024A6"/>
    <w:rsid w:val="00C0469F"/>
    <w:rsid w:val="00C05171"/>
    <w:rsid w:val="00C06204"/>
    <w:rsid w:val="00C22B34"/>
    <w:rsid w:val="00C23FAB"/>
    <w:rsid w:val="00C27775"/>
    <w:rsid w:val="00C438DF"/>
    <w:rsid w:val="00C475D0"/>
    <w:rsid w:val="00C52396"/>
    <w:rsid w:val="00C5742B"/>
    <w:rsid w:val="00C6577E"/>
    <w:rsid w:val="00C65B2E"/>
    <w:rsid w:val="00C67881"/>
    <w:rsid w:val="00C70E04"/>
    <w:rsid w:val="00C7460D"/>
    <w:rsid w:val="00C75511"/>
    <w:rsid w:val="00C77F0A"/>
    <w:rsid w:val="00C82A6E"/>
    <w:rsid w:val="00C87A67"/>
    <w:rsid w:val="00C9183D"/>
    <w:rsid w:val="00C91FAB"/>
    <w:rsid w:val="00C94C15"/>
    <w:rsid w:val="00C95428"/>
    <w:rsid w:val="00CA3943"/>
    <w:rsid w:val="00CA4318"/>
    <w:rsid w:val="00CA49F9"/>
    <w:rsid w:val="00CA744F"/>
    <w:rsid w:val="00CB0FAA"/>
    <w:rsid w:val="00CB3631"/>
    <w:rsid w:val="00CB4C19"/>
    <w:rsid w:val="00CC21F7"/>
    <w:rsid w:val="00CD0010"/>
    <w:rsid w:val="00CD31A6"/>
    <w:rsid w:val="00CD4B4C"/>
    <w:rsid w:val="00CD7B9B"/>
    <w:rsid w:val="00CE2E2E"/>
    <w:rsid w:val="00CE5AEE"/>
    <w:rsid w:val="00CF72FF"/>
    <w:rsid w:val="00D13108"/>
    <w:rsid w:val="00D15926"/>
    <w:rsid w:val="00D15A92"/>
    <w:rsid w:val="00D17188"/>
    <w:rsid w:val="00D20DF4"/>
    <w:rsid w:val="00D21911"/>
    <w:rsid w:val="00D23F71"/>
    <w:rsid w:val="00D43D88"/>
    <w:rsid w:val="00D44A32"/>
    <w:rsid w:val="00D4704C"/>
    <w:rsid w:val="00D506FA"/>
    <w:rsid w:val="00D51982"/>
    <w:rsid w:val="00D522FD"/>
    <w:rsid w:val="00D53A8E"/>
    <w:rsid w:val="00D53BA0"/>
    <w:rsid w:val="00D6321E"/>
    <w:rsid w:val="00D64E46"/>
    <w:rsid w:val="00D70711"/>
    <w:rsid w:val="00D725E9"/>
    <w:rsid w:val="00D72A47"/>
    <w:rsid w:val="00D75C4B"/>
    <w:rsid w:val="00D80D05"/>
    <w:rsid w:val="00D82BB9"/>
    <w:rsid w:val="00D83B18"/>
    <w:rsid w:val="00DA621B"/>
    <w:rsid w:val="00DB3582"/>
    <w:rsid w:val="00DB7FE6"/>
    <w:rsid w:val="00DC4C7B"/>
    <w:rsid w:val="00DC5B6A"/>
    <w:rsid w:val="00DD6736"/>
    <w:rsid w:val="00DE05D5"/>
    <w:rsid w:val="00DE1250"/>
    <w:rsid w:val="00DF069A"/>
    <w:rsid w:val="00DF0890"/>
    <w:rsid w:val="00DF203B"/>
    <w:rsid w:val="00DF4BF0"/>
    <w:rsid w:val="00DF5757"/>
    <w:rsid w:val="00DF7CF7"/>
    <w:rsid w:val="00E16CB3"/>
    <w:rsid w:val="00E20339"/>
    <w:rsid w:val="00E2067D"/>
    <w:rsid w:val="00E226BA"/>
    <w:rsid w:val="00E23E3D"/>
    <w:rsid w:val="00E34368"/>
    <w:rsid w:val="00E35775"/>
    <w:rsid w:val="00E360ED"/>
    <w:rsid w:val="00E41C2E"/>
    <w:rsid w:val="00E4259A"/>
    <w:rsid w:val="00E5157F"/>
    <w:rsid w:val="00E52EC4"/>
    <w:rsid w:val="00E54D1D"/>
    <w:rsid w:val="00E55187"/>
    <w:rsid w:val="00E620D1"/>
    <w:rsid w:val="00E63A4B"/>
    <w:rsid w:val="00E66B0D"/>
    <w:rsid w:val="00E7188B"/>
    <w:rsid w:val="00E74199"/>
    <w:rsid w:val="00E85017"/>
    <w:rsid w:val="00EA113A"/>
    <w:rsid w:val="00EA118A"/>
    <w:rsid w:val="00EB118C"/>
    <w:rsid w:val="00EB18D3"/>
    <w:rsid w:val="00EB49E8"/>
    <w:rsid w:val="00EB4ABB"/>
    <w:rsid w:val="00EB59AE"/>
    <w:rsid w:val="00EB6591"/>
    <w:rsid w:val="00EB76ED"/>
    <w:rsid w:val="00EC0F54"/>
    <w:rsid w:val="00EC5486"/>
    <w:rsid w:val="00EC62A5"/>
    <w:rsid w:val="00EC7FAA"/>
    <w:rsid w:val="00EE2964"/>
    <w:rsid w:val="00EE3744"/>
    <w:rsid w:val="00EE7374"/>
    <w:rsid w:val="00EF242E"/>
    <w:rsid w:val="00F00764"/>
    <w:rsid w:val="00F172D2"/>
    <w:rsid w:val="00F24CC7"/>
    <w:rsid w:val="00F30676"/>
    <w:rsid w:val="00F30A63"/>
    <w:rsid w:val="00F357BB"/>
    <w:rsid w:val="00F373B2"/>
    <w:rsid w:val="00F45362"/>
    <w:rsid w:val="00F50FA9"/>
    <w:rsid w:val="00F57B70"/>
    <w:rsid w:val="00F666D8"/>
    <w:rsid w:val="00F72B60"/>
    <w:rsid w:val="00F74BD5"/>
    <w:rsid w:val="00F77DDA"/>
    <w:rsid w:val="00F806E8"/>
    <w:rsid w:val="00F84796"/>
    <w:rsid w:val="00F84C0D"/>
    <w:rsid w:val="00F8693F"/>
    <w:rsid w:val="00F8731F"/>
    <w:rsid w:val="00FA1716"/>
    <w:rsid w:val="00FA6D8B"/>
    <w:rsid w:val="00FB2EA5"/>
    <w:rsid w:val="00FB5DC3"/>
    <w:rsid w:val="00FC55F3"/>
    <w:rsid w:val="00FD0384"/>
    <w:rsid w:val="00FD044A"/>
    <w:rsid w:val="00FD0EFE"/>
    <w:rsid w:val="00FD7179"/>
    <w:rsid w:val="00FD71F7"/>
    <w:rsid w:val="00FE0C75"/>
    <w:rsid w:val="00FE4C44"/>
    <w:rsid w:val="00FE62D0"/>
    <w:rsid w:val="00FE639E"/>
    <w:rsid w:val="00FF0066"/>
    <w:rsid w:val="00FF05A2"/>
    <w:rsid w:val="00FF1C28"/>
    <w:rsid w:val="00FF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56B5"/>
  <w15:docId w15:val="{B20EAFCD-D9D4-4FEF-96EE-952102A8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08"/>
      <w:ind w:left="17" w:hanging="10"/>
      <w:jc w:val="both"/>
    </w:pPr>
    <w:rPr>
      <w:rFonts w:ascii="Verdana" w:eastAsia="Verdana" w:hAnsi="Verdana" w:cs="Verdana"/>
      <w:color w:val="000000"/>
      <w:sz w:val="20"/>
    </w:rPr>
  </w:style>
  <w:style w:type="paragraph" w:styleId="Heading1">
    <w:name w:val="heading 1"/>
    <w:basedOn w:val="Normal"/>
    <w:next w:val="Normal"/>
    <w:link w:val="Heading1Char"/>
    <w:autoRedefine/>
    <w:uiPriority w:val="9"/>
    <w:qFormat/>
    <w:rsid w:val="00796AA7"/>
    <w:pPr>
      <w:spacing w:after="0" w:line="360" w:lineRule="auto"/>
      <w:ind w:left="0" w:firstLine="0"/>
      <w:jc w:val="left"/>
      <w:outlineLvl w:val="0"/>
    </w:pPr>
    <w:rPr>
      <w:rFonts w:asciiTheme="minorHAnsi" w:hAnsiTheme="minorHAnsi" w:cs="Calibri"/>
      <w:b/>
      <w:noProof/>
      <w:color w:val="00B050"/>
      <w:sz w:val="24"/>
      <w:szCs w:val="28"/>
    </w:rPr>
  </w:style>
  <w:style w:type="paragraph" w:styleId="Heading2">
    <w:name w:val="heading 2"/>
    <w:basedOn w:val="Normal"/>
    <w:next w:val="Normal"/>
    <w:link w:val="Heading2Char"/>
    <w:autoRedefine/>
    <w:uiPriority w:val="9"/>
    <w:unhideWhenUsed/>
    <w:qFormat/>
    <w:rsid w:val="009C46BB"/>
    <w:pPr>
      <w:widowControl w:val="0"/>
      <w:tabs>
        <w:tab w:val="left" w:pos="682"/>
      </w:tabs>
      <w:autoSpaceDE w:val="0"/>
      <w:autoSpaceDN w:val="0"/>
      <w:spacing w:before="78" w:after="120" w:line="360" w:lineRule="auto"/>
      <w:ind w:left="-5" w:firstLine="0"/>
      <w:jc w:val="left"/>
      <w:outlineLvl w:val="1"/>
    </w:pPr>
    <w:rPr>
      <w:rFonts w:asciiTheme="minorHAnsi" w:eastAsiaTheme="majorEastAsia" w:hAnsiTheme="minorHAnsi" w:cs="Calibri"/>
      <w:b/>
      <w:color w:val="00B050"/>
      <w:sz w:val="24"/>
      <w:szCs w:val="20"/>
    </w:rPr>
  </w:style>
  <w:style w:type="paragraph" w:styleId="Heading3">
    <w:name w:val="heading 3"/>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9C46BB"/>
    <w:rPr>
      <w:rFonts w:asciiTheme="minorHAnsi" w:eastAsiaTheme="majorEastAsia" w:hAnsiTheme="minorHAnsi" w:cs="Calibri"/>
      <w:b/>
      <w:color w:val="00B050"/>
      <w:sz w:val="24"/>
      <w:szCs w:val="20"/>
    </w:rPr>
  </w:style>
  <w:style w:type="character" w:customStyle="1" w:styleId="Heading1Char">
    <w:name w:val="Heading 1 Char"/>
    <w:basedOn w:val="DefaultParagraphFont"/>
    <w:link w:val="Heading1"/>
    <w:uiPriority w:val="9"/>
    <w:rsid w:val="00796AA7"/>
    <w:rPr>
      <w:rFonts w:asciiTheme="minorHAnsi" w:eastAsia="Verdana" w:hAnsiTheme="minorHAnsi" w:cs="Calibri"/>
      <w:b/>
      <w:noProof/>
      <w:color w:val="00B050"/>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04AE"/>
    <w:pPr>
      <w:spacing w:after="0" w:line="240" w:lineRule="auto"/>
      <w:ind w:left="720" w:firstLine="0"/>
      <w:contextualSpacing/>
      <w:jc w:val="left"/>
    </w:pPr>
    <w:rPr>
      <w:rFonts w:ascii="Calibri" w:hAnsi="Calibri" w:cs="Calibri"/>
      <w:color w:val="auto"/>
      <w:szCs w:val="20"/>
    </w:rPr>
  </w:style>
  <w:style w:type="paragraph" w:customStyle="1" w:styleId="mainbody">
    <w:name w:val="main body"/>
    <w:basedOn w:val="Normal"/>
    <w:link w:val="mainbodyChar"/>
    <w:qFormat/>
    <w:rsid w:val="00326F15"/>
    <w:pPr>
      <w:spacing w:after="0" w:line="360" w:lineRule="auto"/>
      <w:ind w:left="0" w:firstLine="0"/>
    </w:pPr>
    <w:rPr>
      <w:rFonts w:asciiTheme="minorHAnsi" w:eastAsia="Times New Roman" w:hAnsiTheme="minorHAnsi" w:cs="Calibri"/>
      <w:color w:val="auto"/>
      <w:sz w:val="22"/>
      <w:szCs w:val="20"/>
    </w:rPr>
  </w:style>
  <w:style w:type="character" w:customStyle="1" w:styleId="mainbodyChar">
    <w:name w:val="main body Char"/>
    <w:link w:val="mainbody"/>
    <w:locked/>
    <w:rsid w:val="00326F15"/>
    <w:rPr>
      <w:rFonts w:asciiTheme="minorHAnsi" w:eastAsia="Times New Roman" w:hAnsiTheme="minorHAnsi" w:cs="Calibri"/>
      <w:szCs w:val="20"/>
    </w:rPr>
  </w:style>
  <w:style w:type="paragraph" w:customStyle="1" w:styleId="Heading">
    <w:name w:val="Heading"/>
    <w:basedOn w:val="Heading1"/>
    <w:link w:val="HeadingChar"/>
    <w:qFormat/>
    <w:rsid w:val="00326F15"/>
    <w:rPr>
      <w:rFonts w:eastAsia="Times New Roman"/>
      <w:sz w:val="32"/>
    </w:rPr>
  </w:style>
  <w:style w:type="character" w:customStyle="1" w:styleId="HeadingChar">
    <w:name w:val="Heading Char"/>
    <w:basedOn w:val="DefaultParagraphFont"/>
    <w:link w:val="Heading"/>
    <w:rsid w:val="00326F15"/>
    <w:rPr>
      <w:rFonts w:asciiTheme="minorHAnsi" w:eastAsia="Times New Roman" w:hAnsiTheme="minorHAnsi" w:cs="Calibri"/>
      <w:b/>
      <w:noProof/>
      <w:color w:val="00B050"/>
      <w:sz w:val="32"/>
      <w:szCs w:val="28"/>
    </w:rPr>
  </w:style>
  <w:style w:type="character" w:styleId="Hyperlink">
    <w:name w:val="Hyperlink"/>
    <w:basedOn w:val="DefaultParagraphFont"/>
    <w:uiPriority w:val="99"/>
    <w:unhideWhenUsed/>
    <w:rsid w:val="008E7AAF"/>
    <w:rPr>
      <w:color w:val="0563C1" w:themeColor="hyperlink"/>
      <w:u w:val="single"/>
    </w:rPr>
  </w:style>
  <w:style w:type="character" w:styleId="UnresolvedMention">
    <w:name w:val="Unresolved Mention"/>
    <w:basedOn w:val="DefaultParagraphFont"/>
    <w:uiPriority w:val="99"/>
    <w:semiHidden/>
    <w:unhideWhenUsed/>
    <w:rsid w:val="008E7AAF"/>
    <w:rPr>
      <w:color w:val="605E5C"/>
      <w:shd w:val="clear" w:color="auto" w:fill="E1DFDD"/>
    </w:rPr>
  </w:style>
  <w:style w:type="paragraph" w:styleId="BalloonText">
    <w:name w:val="Balloon Text"/>
    <w:basedOn w:val="Normal"/>
    <w:link w:val="BalloonTextChar"/>
    <w:uiPriority w:val="99"/>
    <w:semiHidden/>
    <w:unhideWhenUsed/>
    <w:rsid w:val="00FA1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716"/>
    <w:rPr>
      <w:rFonts w:ascii="Segoe UI" w:eastAsia="Verdana" w:hAnsi="Segoe UI" w:cs="Segoe UI"/>
      <w:color w:val="000000"/>
      <w:sz w:val="18"/>
      <w:szCs w:val="18"/>
    </w:rPr>
  </w:style>
  <w:style w:type="paragraph" w:customStyle="1" w:styleId="Default">
    <w:name w:val="Default"/>
    <w:rsid w:val="00C024A6"/>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nhideWhenUsed/>
    <w:rsid w:val="000F1642"/>
    <w:pPr>
      <w:widowControl w:val="0"/>
      <w:tabs>
        <w:tab w:val="center" w:pos="4513"/>
        <w:tab w:val="right" w:pos="9026"/>
      </w:tabs>
      <w:autoSpaceDE w:val="0"/>
      <w:autoSpaceDN w:val="0"/>
      <w:spacing w:after="0" w:line="240" w:lineRule="auto"/>
      <w:ind w:left="0" w:firstLine="0"/>
      <w:jc w:val="left"/>
    </w:pPr>
    <w:rPr>
      <w:rFonts w:ascii="Calibri" w:eastAsia="Calibri" w:hAnsi="Calibri" w:cs="Calibri"/>
      <w:color w:val="auto"/>
      <w:sz w:val="22"/>
      <w:lang w:val="en-US" w:eastAsia="en-US"/>
    </w:rPr>
  </w:style>
  <w:style w:type="character" w:customStyle="1" w:styleId="FooterChar">
    <w:name w:val="Footer Char"/>
    <w:basedOn w:val="DefaultParagraphFont"/>
    <w:link w:val="Footer"/>
    <w:rsid w:val="000F1642"/>
    <w:rPr>
      <w:rFonts w:ascii="Calibri" w:eastAsia="Calibri" w:hAnsi="Calibri" w:cs="Calibri"/>
      <w:lang w:val="en-US" w:eastAsia="en-US"/>
    </w:rPr>
  </w:style>
  <w:style w:type="paragraph" w:styleId="BodyText">
    <w:name w:val="Body Text"/>
    <w:basedOn w:val="Normal"/>
    <w:link w:val="BodyTextChar"/>
    <w:uiPriority w:val="1"/>
    <w:qFormat/>
    <w:rsid w:val="004619FE"/>
    <w:pPr>
      <w:widowControl w:val="0"/>
      <w:autoSpaceDE w:val="0"/>
      <w:autoSpaceDN w:val="0"/>
      <w:spacing w:after="0" w:line="240" w:lineRule="auto"/>
      <w:ind w:left="0" w:firstLine="0"/>
      <w:jc w:val="left"/>
    </w:pPr>
    <w:rPr>
      <w:rFonts w:ascii="Calibri" w:eastAsia="Calibri" w:hAnsi="Calibri" w:cs="Calibri"/>
      <w:color w:val="auto"/>
      <w:szCs w:val="20"/>
      <w:lang w:val="en-US" w:eastAsia="en-US"/>
    </w:rPr>
  </w:style>
  <w:style w:type="character" w:customStyle="1" w:styleId="BodyTextChar">
    <w:name w:val="Body Text Char"/>
    <w:basedOn w:val="DefaultParagraphFont"/>
    <w:link w:val="BodyText"/>
    <w:uiPriority w:val="1"/>
    <w:rsid w:val="004619FE"/>
    <w:rPr>
      <w:rFonts w:ascii="Calibri" w:eastAsia="Calibri" w:hAnsi="Calibri" w:cs="Calibri"/>
      <w:sz w:val="20"/>
      <w:szCs w:val="20"/>
      <w:lang w:val="en-US" w:eastAsia="en-US"/>
    </w:rPr>
  </w:style>
  <w:style w:type="paragraph" w:customStyle="1" w:styleId="TableParagraph">
    <w:name w:val="Table Paragraph"/>
    <w:basedOn w:val="Normal"/>
    <w:uiPriority w:val="1"/>
    <w:qFormat/>
    <w:rsid w:val="004619FE"/>
    <w:pPr>
      <w:widowControl w:val="0"/>
      <w:autoSpaceDE w:val="0"/>
      <w:autoSpaceDN w:val="0"/>
      <w:spacing w:after="0" w:line="240" w:lineRule="auto"/>
      <w:ind w:left="0" w:firstLine="0"/>
      <w:jc w:val="left"/>
    </w:pPr>
    <w:rPr>
      <w:rFonts w:ascii="Calibri" w:eastAsia="Calibri" w:hAnsi="Calibri" w:cs="Calibri"/>
      <w:color w:val="auto"/>
      <w:sz w:val="22"/>
      <w:lang w:val="en-US" w:eastAsia="en-US"/>
    </w:rPr>
  </w:style>
  <w:style w:type="character" w:styleId="CommentReference">
    <w:name w:val="annotation reference"/>
    <w:basedOn w:val="DefaultParagraphFont"/>
    <w:uiPriority w:val="99"/>
    <w:semiHidden/>
    <w:unhideWhenUsed/>
    <w:rsid w:val="006515EA"/>
    <w:rPr>
      <w:sz w:val="16"/>
      <w:szCs w:val="16"/>
    </w:rPr>
  </w:style>
  <w:style w:type="paragraph" w:styleId="CommentText">
    <w:name w:val="annotation text"/>
    <w:basedOn w:val="Normal"/>
    <w:link w:val="CommentTextChar"/>
    <w:uiPriority w:val="99"/>
    <w:unhideWhenUsed/>
    <w:rsid w:val="006515EA"/>
    <w:pPr>
      <w:spacing w:line="240" w:lineRule="auto"/>
    </w:pPr>
    <w:rPr>
      <w:szCs w:val="20"/>
    </w:rPr>
  </w:style>
  <w:style w:type="character" w:customStyle="1" w:styleId="CommentTextChar">
    <w:name w:val="Comment Text Char"/>
    <w:basedOn w:val="DefaultParagraphFont"/>
    <w:link w:val="CommentText"/>
    <w:uiPriority w:val="99"/>
    <w:rsid w:val="006515EA"/>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515EA"/>
    <w:rPr>
      <w:b/>
      <w:bCs/>
    </w:rPr>
  </w:style>
  <w:style w:type="character" w:customStyle="1" w:styleId="CommentSubjectChar">
    <w:name w:val="Comment Subject Char"/>
    <w:basedOn w:val="CommentTextChar"/>
    <w:link w:val="CommentSubject"/>
    <w:uiPriority w:val="99"/>
    <w:semiHidden/>
    <w:rsid w:val="006515EA"/>
    <w:rPr>
      <w:rFonts w:ascii="Verdana" w:eastAsia="Verdana" w:hAnsi="Verdana" w:cs="Verdana"/>
      <w:b/>
      <w:bCs/>
      <w:color w:val="000000"/>
      <w:sz w:val="20"/>
      <w:szCs w:val="20"/>
    </w:rPr>
  </w:style>
  <w:style w:type="character" w:styleId="Strong">
    <w:name w:val="Strong"/>
    <w:basedOn w:val="DefaultParagraphFont"/>
    <w:uiPriority w:val="22"/>
    <w:qFormat/>
    <w:rsid w:val="00102C14"/>
    <w:rPr>
      <w:b/>
      <w:bCs/>
    </w:rPr>
  </w:style>
  <w:style w:type="paragraph" w:styleId="Revision">
    <w:name w:val="Revision"/>
    <w:hidden/>
    <w:uiPriority w:val="99"/>
    <w:semiHidden/>
    <w:rsid w:val="00106DD2"/>
    <w:pPr>
      <w:spacing w:after="0" w:line="240" w:lineRule="auto"/>
    </w:pPr>
    <w:rPr>
      <w:rFonts w:ascii="Verdana" w:eastAsia="Verdana" w:hAnsi="Verdana" w:cs="Verdana"/>
      <w:color w:val="000000"/>
      <w:sz w:val="20"/>
    </w:rPr>
  </w:style>
  <w:style w:type="paragraph" w:customStyle="1" w:styleId="bullet">
    <w:name w:val="bullet"/>
    <w:basedOn w:val="Normal"/>
    <w:rsid w:val="00382AEA"/>
    <w:pPr>
      <w:numPr>
        <w:numId w:val="25"/>
      </w:numPr>
      <w:spacing w:after="0" w:line="240" w:lineRule="auto"/>
      <w:jc w:val="left"/>
    </w:pPr>
    <w:rPr>
      <w:rFonts w:ascii="Arial" w:eastAsia="Times New Roman" w:hAnsi="Arial" w:cs="Times New Roman"/>
      <w:color w:val="auto"/>
      <w:sz w:val="22"/>
      <w:szCs w:val="20"/>
    </w:rPr>
  </w:style>
  <w:style w:type="paragraph" w:styleId="NoSpacing">
    <w:name w:val="No Spacing"/>
    <w:uiPriority w:val="1"/>
    <w:qFormat/>
    <w:rsid w:val="00382AEA"/>
    <w:pPr>
      <w:spacing w:after="0" w:line="240" w:lineRule="auto"/>
      <w:ind w:left="17" w:hanging="10"/>
      <w:jc w:val="both"/>
    </w:pPr>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8392">
      <w:bodyDiv w:val="1"/>
      <w:marLeft w:val="0"/>
      <w:marRight w:val="0"/>
      <w:marTop w:val="0"/>
      <w:marBottom w:val="0"/>
      <w:divBdr>
        <w:top w:val="none" w:sz="0" w:space="0" w:color="auto"/>
        <w:left w:val="none" w:sz="0" w:space="0" w:color="auto"/>
        <w:bottom w:val="none" w:sz="0" w:space="0" w:color="auto"/>
        <w:right w:val="none" w:sz="0" w:space="0" w:color="auto"/>
      </w:divBdr>
    </w:div>
    <w:div w:id="121653364">
      <w:bodyDiv w:val="1"/>
      <w:marLeft w:val="0"/>
      <w:marRight w:val="0"/>
      <w:marTop w:val="0"/>
      <w:marBottom w:val="0"/>
      <w:divBdr>
        <w:top w:val="none" w:sz="0" w:space="0" w:color="auto"/>
        <w:left w:val="none" w:sz="0" w:space="0" w:color="auto"/>
        <w:bottom w:val="none" w:sz="0" w:space="0" w:color="auto"/>
        <w:right w:val="none" w:sz="0" w:space="0" w:color="auto"/>
      </w:divBdr>
    </w:div>
    <w:div w:id="125391411">
      <w:bodyDiv w:val="1"/>
      <w:marLeft w:val="0"/>
      <w:marRight w:val="0"/>
      <w:marTop w:val="0"/>
      <w:marBottom w:val="0"/>
      <w:divBdr>
        <w:top w:val="none" w:sz="0" w:space="0" w:color="auto"/>
        <w:left w:val="none" w:sz="0" w:space="0" w:color="auto"/>
        <w:bottom w:val="none" w:sz="0" w:space="0" w:color="auto"/>
        <w:right w:val="none" w:sz="0" w:space="0" w:color="auto"/>
      </w:divBdr>
    </w:div>
    <w:div w:id="164710196">
      <w:bodyDiv w:val="1"/>
      <w:marLeft w:val="0"/>
      <w:marRight w:val="0"/>
      <w:marTop w:val="0"/>
      <w:marBottom w:val="0"/>
      <w:divBdr>
        <w:top w:val="none" w:sz="0" w:space="0" w:color="auto"/>
        <w:left w:val="none" w:sz="0" w:space="0" w:color="auto"/>
        <w:bottom w:val="none" w:sz="0" w:space="0" w:color="auto"/>
        <w:right w:val="none" w:sz="0" w:space="0" w:color="auto"/>
      </w:divBdr>
    </w:div>
    <w:div w:id="423496713">
      <w:bodyDiv w:val="1"/>
      <w:marLeft w:val="0"/>
      <w:marRight w:val="0"/>
      <w:marTop w:val="0"/>
      <w:marBottom w:val="0"/>
      <w:divBdr>
        <w:top w:val="none" w:sz="0" w:space="0" w:color="auto"/>
        <w:left w:val="none" w:sz="0" w:space="0" w:color="auto"/>
        <w:bottom w:val="none" w:sz="0" w:space="0" w:color="auto"/>
        <w:right w:val="none" w:sz="0" w:space="0" w:color="auto"/>
      </w:divBdr>
    </w:div>
    <w:div w:id="525171665">
      <w:bodyDiv w:val="1"/>
      <w:marLeft w:val="0"/>
      <w:marRight w:val="0"/>
      <w:marTop w:val="0"/>
      <w:marBottom w:val="0"/>
      <w:divBdr>
        <w:top w:val="none" w:sz="0" w:space="0" w:color="auto"/>
        <w:left w:val="none" w:sz="0" w:space="0" w:color="auto"/>
        <w:bottom w:val="none" w:sz="0" w:space="0" w:color="auto"/>
        <w:right w:val="none" w:sz="0" w:space="0" w:color="auto"/>
      </w:divBdr>
    </w:div>
    <w:div w:id="525605297">
      <w:bodyDiv w:val="1"/>
      <w:marLeft w:val="0"/>
      <w:marRight w:val="0"/>
      <w:marTop w:val="0"/>
      <w:marBottom w:val="0"/>
      <w:divBdr>
        <w:top w:val="none" w:sz="0" w:space="0" w:color="auto"/>
        <w:left w:val="none" w:sz="0" w:space="0" w:color="auto"/>
        <w:bottom w:val="none" w:sz="0" w:space="0" w:color="auto"/>
        <w:right w:val="none" w:sz="0" w:space="0" w:color="auto"/>
      </w:divBdr>
    </w:div>
    <w:div w:id="548150221">
      <w:bodyDiv w:val="1"/>
      <w:marLeft w:val="0"/>
      <w:marRight w:val="0"/>
      <w:marTop w:val="0"/>
      <w:marBottom w:val="0"/>
      <w:divBdr>
        <w:top w:val="none" w:sz="0" w:space="0" w:color="auto"/>
        <w:left w:val="none" w:sz="0" w:space="0" w:color="auto"/>
        <w:bottom w:val="none" w:sz="0" w:space="0" w:color="auto"/>
        <w:right w:val="none" w:sz="0" w:space="0" w:color="auto"/>
      </w:divBdr>
    </w:div>
    <w:div w:id="552692461">
      <w:bodyDiv w:val="1"/>
      <w:marLeft w:val="0"/>
      <w:marRight w:val="0"/>
      <w:marTop w:val="0"/>
      <w:marBottom w:val="0"/>
      <w:divBdr>
        <w:top w:val="none" w:sz="0" w:space="0" w:color="auto"/>
        <w:left w:val="none" w:sz="0" w:space="0" w:color="auto"/>
        <w:bottom w:val="none" w:sz="0" w:space="0" w:color="auto"/>
        <w:right w:val="none" w:sz="0" w:space="0" w:color="auto"/>
      </w:divBdr>
    </w:div>
    <w:div w:id="564801178">
      <w:bodyDiv w:val="1"/>
      <w:marLeft w:val="0"/>
      <w:marRight w:val="0"/>
      <w:marTop w:val="0"/>
      <w:marBottom w:val="0"/>
      <w:divBdr>
        <w:top w:val="none" w:sz="0" w:space="0" w:color="auto"/>
        <w:left w:val="none" w:sz="0" w:space="0" w:color="auto"/>
        <w:bottom w:val="none" w:sz="0" w:space="0" w:color="auto"/>
        <w:right w:val="none" w:sz="0" w:space="0" w:color="auto"/>
      </w:divBdr>
    </w:div>
    <w:div w:id="573007272">
      <w:bodyDiv w:val="1"/>
      <w:marLeft w:val="0"/>
      <w:marRight w:val="0"/>
      <w:marTop w:val="0"/>
      <w:marBottom w:val="0"/>
      <w:divBdr>
        <w:top w:val="none" w:sz="0" w:space="0" w:color="auto"/>
        <w:left w:val="none" w:sz="0" w:space="0" w:color="auto"/>
        <w:bottom w:val="none" w:sz="0" w:space="0" w:color="auto"/>
        <w:right w:val="none" w:sz="0" w:space="0" w:color="auto"/>
      </w:divBdr>
    </w:div>
    <w:div w:id="657196663">
      <w:bodyDiv w:val="1"/>
      <w:marLeft w:val="0"/>
      <w:marRight w:val="0"/>
      <w:marTop w:val="0"/>
      <w:marBottom w:val="0"/>
      <w:divBdr>
        <w:top w:val="none" w:sz="0" w:space="0" w:color="auto"/>
        <w:left w:val="none" w:sz="0" w:space="0" w:color="auto"/>
        <w:bottom w:val="none" w:sz="0" w:space="0" w:color="auto"/>
        <w:right w:val="none" w:sz="0" w:space="0" w:color="auto"/>
      </w:divBdr>
    </w:div>
    <w:div w:id="685716408">
      <w:bodyDiv w:val="1"/>
      <w:marLeft w:val="0"/>
      <w:marRight w:val="0"/>
      <w:marTop w:val="0"/>
      <w:marBottom w:val="0"/>
      <w:divBdr>
        <w:top w:val="none" w:sz="0" w:space="0" w:color="auto"/>
        <w:left w:val="none" w:sz="0" w:space="0" w:color="auto"/>
        <w:bottom w:val="none" w:sz="0" w:space="0" w:color="auto"/>
        <w:right w:val="none" w:sz="0" w:space="0" w:color="auto"/>
      </w:divBdr>
    </w:div>
    <w:div w:id="714162202">
      <w:bodyDiv w:val="1"/>
      <w:marLeft w:val="0"/>
      <w:marRight w:val="0"/>
      <w:marTop w:val="0"/>
      <w:marBottom w:val="0"/>
      <w:divBdr>
        <w:top w:val="none" w:sz="0" w:space="0" w:color="auto"/>
        <w:left w:val="none" w:sz="0" w:space="0" w:color="auto"/>
        <w:bottom w:val="none" w:sz="0" w:space="0" w:color="auto"/>
        <w:right w:val="none" w:sz="0" w:space="0" w:color="auto"/>
      </w:divBdr>
    </w:div>
    <w:div w:id="946159490">
      <w:bodyDiv w:val="1"/>
      <w:marLeft w:val="0"/>
      <w:marRight w:val="0"/>
      <w:marTop w:val="0"/>
      <w:marBottom w:val="0"/>
      <w:divBdr>
        <w:top w:val="none" w:sz="0" w:space="0" w:color="auto"/>
        <w:left w:val="none" w:sz="0" w:space="0" w:color="auto"/>
        <w:bottom w:val="none" w:sz="0" w:space="0" w:color="auto"/>
        <w:right w:val="none" w:sz="0" w:space="0" w:color="auto"/>
      </w:divBdr>
    </w:div>
    <w:div w:id="1091589396">
      <w:bodyDiv w:val="1"/>
      <w:marLeft w:val="0"/>
      <w:marRight w:val="0"/>
      <w:marTop w:val="0"/>
      <w:marBottom w:val="0"/>
      <w:divBdr>
        <w:top w:val="none" w:sz="0" w:space="0" w:color="auto"/>
        <w:left w:val="none" w:sz="0" w:space="0" w:color="auto"/>
        <w:bottom w:val="none" w:sz="0" w:space="0" w:color="auto"/>
        <w:right w:val="none" w:sz="0" w:space="0" w:color="auto"/>
      </w:divBdr>
    </w:div>
    <w:div w:id="1171599714">
      <w:bodyDiv w:val="1"/>
      <w:marLeft w:val="0"/>
      <w:marRight w:val="0"/>
      <w:marTop w:val="0"/>
      <w:marBottom w:val="0"/>
      <w:divBdr>
        <w:top w:val="none" w:sz="0" w:space="0" w:color="auto"/>
        <w:left w:val="none" w:sz="0" w:space="0" w:color="auto"/>
        <w:bottom w:val="none" w:sz="0" w:space="0" w:color="auto"/>
        <w:right w:val="none" w:sz="0" w:space="0" w:color="auto"/>
      </w:divBdr>
    </w:div>
    <w:div w:id="1325208089">
      <w:bodyDiv w:val="1"/>
      <w:marLeft w:val="0"/>
      <w:marRight w:val="0"/>
      <w:marTop w:val="0"/>
      <w:marBottom w:val="0"/>
      <w:divBdr>
        <w:top w:val="none" w:sz="0" w:space="0" w:color="auto"/>
        <w:left w:val="none" w:sz="0" w:space="0" w:color="auto"/>
        <w:bottom w:val="none" w:sz="0" w:space="0" w:color="auto"/>
        <w:right w:val="none" w:sz="0" w:space="0" w:color="auto"/>
      </w:divBdr>
    </w:div>
    <w:div w:id="1427270618">
      <w:bodyDiv w:val="1"/>
      <w:marLeft w:val="0"/>
      <w:marRight w:val="0"/>
      <w:marTop w:val="0"/>
      <w:marBottom w:val="0"/>
      <w:divBdr>
        <w:top w:val="none" w:sz="0" w:space="0" w:color="auto"/>
        <w:left w:val="none" w:sz="0" w:space="0" w:color="auto"/>
        <w:bottom w:val="none" w:sz="0" w:space="0" w:color="auto"/>
        <w:right w:val="none" w:sz="0" w:space="0" w:color="auto"/>
      </w:divBdr>
    </w:div>
    <w:div w:id="1577780968">
      <w:bodyDiv w:val="1"/>
      <w:marLeft w:val="0"/>
      <w:marRight w:val="0"/>
      <w:marTop w:val="0"/>
      <w:marBottom w:val="0"/>
      <w:divBdr>
        <w:top w:val="none" w:sz="0" w:space="0" w:color="auto"/>
        <w:left w:val="none" w:sz="0" w:space="0" w:color="auto"/>
        <w:bottom w:val="none" w:sz="0" w:space="0" w:color="auto"/>
        <w:right w:val="none" w:sz="0" w:space="0" w:color="auto"/>
      </w:divBdr>
    </w:div>
    <w:div w:id="1609507927">
      <w:bodyDiv w:val="1"/>
      <w:marLeft w:val="0"/>
      <w:marRight w:val="0"/>
      <w:marTop w:val="0"/>
      <w:marBottom w:val="0"/>
      <w:divBdr>
        <w:top w:val="none" w:sz="0" w:space="0" w:color="auto"/>
        <w:left w:val="none" w:sz="0" w:space="0" w:color="auto"/>
        <w:bottom w:val="none" w:sz="0" w:space="0" w:color="auto"/>
        <w:right w:val="none" w:sz="0" w:space="0" w:color="auto"/>
      </w:divBdr>
    </w:div>
    <w:div w:id="1636520372">
      <w:bodyDiv w:val="1"/>
      <w:marLeft w:val="0"/>
      <w:marRight w:val="0"/>
      <w:marTop w:val="0"/>
      <w:marBottom w:val="0"/>
      <w:divBdr>
        <w:top w:val="none" w:sz="0" w:space="0" w:color="auto"/>
        <w:left w:val="none" w:sz="0" w:space="0" w:color="auto"/>
        <w:bottom w:val="none" w:sz="0" w:space="0" w:color="auto"/>
        <w:right w:val="none" w:sz="0" w:space="0" w:color="auto"/>
      </w:divBdr>
    </w:div>
    <w:div w:id="1809664816">
      <w:bodyDiv w:val="1"/>
      <w:marLeft w:val="0"/>
      <w:marRight w:val="0"/>
      <w:marTop w:val="0"/>
      <w:marBottom w:val="0"/>
      <w:divBdr>
        <w:top w:val="none" w:sz="0" w:space="0" w:color="auto"/>
        <w:left w:val="none" w:sz="0" w:space="0" w:color="auto"/>
        <w:bottom w:val="none" w:sz="0" w:space="0" w:color="auto"/>
        <w:right w:val="none" w:sz="0" w:space="0" w:color="auto"/>
      </w:divBdr>
    </w:div>
    <w:div w:id="1871526162">
      <w:bodyDiv w:val="1"/>
      <w:marLeft w:val="0"/>
      <w:marRight w:val="0"/>
      <w:marTop w:val="0"/>
      <w:marBottom w:val="0"/>
      <w:divBdr>
        <w:top w:val="none" w:sz="0" w:space="0" w:color="auto"/>
        <w:left w:val="none" w:sz="0" w:space="0" w:color="auto"/>
        <w:bottom w:val="none" w:sz="0" w:space="0" w:color="auto"/>
        <w:right w:val="none" w:sz="0" w:space="0" w:color="auto"/>
      </w:divBdr>
    </w:div>
    <w:div w:id="1886092796">
      <w:bodyDiv w:val="1"/>
      <w:marLeft w:val="0"/>
      <w:marRight w:val="0"/>
      <w:marTop w:val="0"/>
      <w:marBottom w:val="0"/>
      <w:divBdr>
        <w:top w:val="none" w:sz="0" w:space="0" w:color="auto"/>
        <w:left w:val="none" w:sz="0" w:space="0" w:color="auto"/>
        <w:bottom w:val="none" w:sz="0" w:space="0" w:color="auto"/>
        <w:right w:val="none" w:sz="0" w:space="0" w:color="auto"/>
      </w:divBdr>
    </w:div>
    <w:div w:id="2015760060">
      <w:bodyDiv w:val="1"/>
      <w:marLeft w:val="0"/>
      <w:marRight w:val="0"/>
      <w:marTop w:val="0"/>
      <w:marBottom w:val="0"/>
      <w:divBdr>
        <w:top w:val="none" w:sz="0" w:space="0" w:color="auto"/>
        <w:left w:val="none" w:sz="0" w:space="0" w:color="auto"/>
        <w:bottom w:val="none" w:sz="0" w:space="0" w:color="auto"/>
        <w:right w:val="none" w:sz="0" w:space="0" w:color="auto"/>
      </w:divBdr>
    </w:div>
    <w:div w:id="2056004330">
      <w:bodyDiv w:val="1"/>
      <w:marLeft w:val="0"/>
      <w:marRight w:val="0"/>
      <w:marTop w:val="0"/>
      <w:marBottom w:val="0"/>
      <w:divBdr>
        <w:top w:val="none" w:sz="0" w:space="0" w:color="auto"/>
        <w:left w:val="none" w:sz="0" w:space="0" w:color="auto"/>
        <w:bottom w:val="none" w:sz="0" w:space="0" w:color="auto"/>
        <w:right w:val="none" w:sz="0" w:space="0" w:color="auto"/>
      </w:divBdr>
    </w:div>
    <w:div w:id="210583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qaqualifications.com/qualif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Hayes</dc:creator>
  <cp:keywords/>
  <cp:lastModifiedBy>Sean Hayes</cp:lastModifiedBy>
  <cp:revision>3</cp:revision>
  <cp:lastPrinted>2023-08-16T08:50:00Z</cp:lastPrinted>
  <dcterms:created xsi:type="dcterms:W3CDTF">2024-09-30T09:57:00Z</dcterms:created>
  <dcterms:modified xsi:type="dcterms:W3CDTF">2025-09-24T10:43:00Z</dcterms:modified>
</cp:coreProperties>
</file>