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D318" w14:textId="2F899D18" w:rsidR="000E7484" w:rsidRPr="00C2396E" w:rsidRDefault="0092687C" w:rsidP="002324FA">
      <w:pPr>
        <w:pStyle w:val="AATheading4"/>
        <w:spacing w:after="0" w:line="240" w:lineRule="auto"/>
        <w:jc w:val="both"/>
        <w:rPr>
          <w:rFonts w:asciiTheme="minorHAnsi" w:hAnsiTheme="minorHAnsi"/>
          <w:b/>
          <w:bCs/>
        </w:rPr>
      </w:pPr>
      <w:r w:rsidRPr="00C2396E">
        <w:rPr>
          <w:rFonts w:asciiTheme="minorHAnsi" w:hAnsiTheme="minorHAnsi"/>
          <w:b/>
          <w:bCs/>
        </w:rPr>
        <w:t>AWARDING ORGANISATION POLICY</w:t>
      </w:r>
    </w:p>
    <w:p w14:paraId="6BF7DCEB" w14:textId="77777777" w:rsidR="0092687C" w:rsidRPr="00C2396E" w:rsidRDefault="0092687C" w:rsidP="002324FA">
      <w:pPr>
        <w:pStyle w:val="AATbodytext"/>
        <w:jc w:val="both"/>
      </w:pPr>
    </w:p>
    <w:p w14:paraId="39E260FB" w14:textId="7151964B" w:rsidR="002D6363" w:rsidRPr="00C2396E" w:rsidRDefault="000A7D0F" w:rsidP="002324FA">
      <w:pPr>
        <w:pStyle w:val="AATheading4"/>
        <w:spacing w:after="0" w:line="240" w:lineRule="auto"/>
        <w:jc w:val="both"/>
        <w:rPr>
          <w:rFonts w:asciiTheme="minorHAnsi" w:hAnsiTheme="minorHAnsi"/>
          <w:b/>
          <w:bCs/>
          <w:color w:val="FF0000"/>
        </w:rPr>
      </w:pPr>
      <w:r w:rsidRPr="00C2396E">
        <w:rPr>
          <w:rFonts w:asciiTheme="minorHAnsi" w:hAnsiTheme="minorHAnsi"/>
          <w:b/>
          <w:bCs/>
          <w:color w:val="FF0000"/>
        </w:rPr>
        <w:t xml:space="preserve">Welsh </w:t>
      </w:r>
      <w:r w:rsidR="00C04C4C" w:rsidRPr="00C2396E">
        <w:rPr>
          <w:rFonts w:asciiTheme="minorHAnsi" w:hAnsiTheme="minorHAnsi"/>
          <w:b/>
          <w:bCs/>
          <w:color w:val="FF0000"/>
        </w:rPr>
        <w:t>Language Policy</w:t>
      </w:r>
      <w:r w:rsidR="00863C2A" w:rsidRPr="00C2396E">
        <w:rPr>
          <w:rFonts w:asciiTheme="minorHAnsi" w:hAnsiTheme="minorHAnsi"/>
          <w:b/>
          <w:bCs/>
          <w:color w:val="FF0000"/>
        </w:rPr>
        <w:t xml:space="preserve"> </w:t>
      </w:r>
      <w:r w:rsidR="003F01AE">
        <w:rPr>
          <w:rFonts w:asciiTheme="minorHAnsi" w:hAnsiTheme="minorHAnsi"/>
          <w:b/>
          <w:bCs/>
          <w:color w:val="FF0000"/>
        </w:rPr>
        <w:t xml:space="preserve">Statement </w:t>
      </w:r>
      <w:r w:rsidR="00863C2A" w:rsidRPr="00C2396E">
        <w:rPr>
          <w:rFonts w:asciiTheme="minorHAnsi" w:hAnsiTheme="minorHAnsi"/>
          <w:b/>
          <w:bCs/>
          <w:color w:val="FF0000"/>
        </w:rPr>
        <w:t>(AOP-</w:t>
      </w:r>
      <w:r w:rsidR="00C04C4C" w:rsidRPr="00C2396E">
        <w:rPr>
          <w:rFonts w:asciiTheme="minorHAnsi" w:hAnsiTheme="minorHAnsi"/>
          <w:b/>
          <w:bCs/>
          <w:color w:val="FF0000"/>
        </w:rPr>
        <w:t>02</w:t>
      </w:r>
      <w:r w:rsidRPr="00C2396E">
        <w:rPr>
          <w:rFonts w:asciiTheme="minorHAnsi" w:hAnsiTheme="minorHAnsi"/>
          <w:b/>
          <w:bCs/>
          <w:color w:val="FF0000"/>
        </w:rPr>
        <w:t>5</w:t>
      </w:r>
      <w:r w:rsidR="00863C2A" w:rsidRPr="00C2396E">
        <w:rPr>
          <w:rFonts w:asciiTheme="minorHAnsi" w:hAnsiTheme="minorHAnsi"/>
          <w:b/>
          <w:bCs/>
          <w:color w:val="FF0000"/>
        </w:rPr>
        <w:t>)</w:t>
      </w:r>
    </w:p>
    <w:p w14:paraId="499F9AF9" w14:textId="77777777" w:rsidR="005C0BFB" w:rsidRPr="00C2396E" w:rsidRDefault="005C0BFB" w:rsidP="002324FA">
      <w:pPr>
        <w:pStyle w:val="AATheading1"/>
        <w:spacing w:after="0" w:line="240" w:lineRule="auto"/>
        <w:ind w:left="0" w:firstLine="0"/>
        <w:jc w:val="both"/>
        <w:rPr>
          <w:rFonts w:asciiTheme="minorHAnsi" w:hAnsiTheme="minorHAnsi"/>
          <w:sz w:val="22"/>
          <w:szCs w:val="22"/>
        </w:rPr>
      </w:pPr>
      <w:bookmarkStart w:id="0" w:name="_Toc190354473"/>
    </w:p>
    <w:bookmarkEnd w:id="0"/>
    <w:p w14:paraId="44BEB645" w14:textId="5FE70E66" w:rsidR="007E2872" w:rsidRPr="00C2396E" w:rsidRDefault="007E2872" w:rsidP="003F01AE">
      <w:pPr>
        <w:pStyle w:val="AATheading1"/>
        <w:spacing w:after="0" w:line="240" w:lineRule="auto"/>
        <w:jc w:val="both"/>
        <w:rPr>
          <w:rFonts w:asciiTheme="minorHAnsi" w:hAnsiTheme="minorHAnsi"/>
          <w:b/>
          <w:bCs/>
          <w:sz w:val="32"/>
        </w:rPr>
      </w:pPr>
      <w:r w:rsidRPr="00C2396E">
        <w:rPr>
          <w:rFonts w:asciiTheme="minorHAnsi" w:hAnsiTheme="minorHAnsi"/>
          <w:b/>
          <w:bCs/>
          <w:sz w:val="32"/>
        </w:rPr>
        <w:t>GQA Qualifications – Our Mission and Values</w:t>
      </w:r>
    </w:p>
    <w:p w14:paraId="1A3C789C" w14:textId="642E6D47" w:rsidR="00513295" w:rsidRPr="00C2396E" w:rsidRDefault="00513295" w:rsidP="002324FA">
      <w:pPr>
        <w:spacing w:after="0" w:line="240" w:lineRule="auto"/>
        <w:jc w:val="both"/>
        <w:rPr>
          <w:color w:val="000000" w:themeColor="text1"/>
        </w:rPr>
      </w:pPr>
      <w:r w:rsidRPr="00C2396E">
        <w:rPr>
          <w:color w:val="000000" w:themeColor="text1"/>
        </w:rPr>
        <w:t xml:space="preserve">GQA Qualifications Limited is an Awarding Body for specialist sectors and occupational roles. Our current qualifications cover </w:t>
      </w:r>
      <w:r w:rsidR="00BD5F77">
        <w:rPr>
          <w:color w:val="000000" w:themeColor="text1"/>
        </w:rPr>
        <w:t>a wide range of</w:t>
      </w:r>
      <w:r w:rsidRPr="00C2396E">
        <w:rPr>
          <w:color w:val="000000" w:themeColor="text1"/>
        </w:rPr>
        <w:t xml:space="preserve"> sectors</w:t>
      </w:r>
      <w:r w:rsidR="00BD5F77">
        <w:rPr>
          <w:color w:val="000000" w:themeColor="text1"/>
        </w:rPr>
        <w:t>,</w:t>
      </w:r>
      <w:r w:rsidRPr="00C2396E">
        <w:rPr>
          <w:color w:val="000000" w:themeColor="text1"/>
        </w:rPr>
        <w:t xml:space="preserve"> including the Glass and Fenestration Industries, Construction, Print, Automotive Glazing, Polymers, Nuclear, Chimney Occupations, Paper, Meteorology and Print.</w:t>
      </w:r>
    </w:p>
    <w:p w14:paraId="1CEBB2F8" w14:textId="77777777" w:rsidR="00513295" w:rsidRPr="00C2396E" w:rsidRDefault="00513295" w:rsidP="002324FA">
      <w:pPr>
        <w:spacing w:after="0" w:line="240" w:lineRule="auto"/>
        <w:jc w:val="both"/>
        <w:rPr>
          <w:color w:val="000000" w:themeColor="text1"/>
        </w:rPr>
      </w:pPr>
    </w:p>
    <w:p w14:paraId="193D93B6" w14:textId="39BB6907" w:rsidR="00513295" w:rsidRPr="00C2396E" w:rsidRDefault="00513295" w:rsidP="002324FA">
      <w:pPr>
        <w:spacing w:after="0" w:line="240" w:lineRule="auto"/>
        <w:jc w:val="both"/>
        <w:rPr>
          <w:color w:val="000000" w:themeColor="text1"/>
        </w:rPr>
      </w:pPr>
      <w:r w:rsidRPr="00C2396E">
        <w:rPr>
          <w:color w:val="000000" w:themeColor="text1"/>
        </w:rPr>
        <w:t>Our aim is to work with industries where we have access to knowledge either within GQA or by developing strong working relationships with sector specialists, giving us a real ability to discuss specific qualifications with both centres and employers.</w:t>
      </w:r>
    </w:p>
    <w:p w14:paraId="6A5868C2" w14:textId="77777777" w:rsidR="00513295" w:rsidRPr="00C2396E" w:rsidRDefault="00513295" w:rsidP="002324FA">
      <w:pPr>
        <w:spacing w:after="0" w:line="240" w:lineRule="auto"/>
        <w:jc w:val="both"/>
        <w:rPr>
          <w:color w:val="000000" w:themeColor="text1"/>
        </w:rPr>
      </w:pPr>
    </w:p>
    <w:p w14:paraId="5CB7CACB" w14:textId="77777777" w:rsidR="00513295" w:rsidRPr="00C2396E" w:rsidRDefault="00513295" w:rsidP="002324FA">
      <w:pPr>
        <w:spacing w:after="0" w:line="240" w:lineRule="auto"/>
        <w:jc w:val="both"/>
        <w:rPr>
          <w:color w:val="000000" w:themeColor="text1"/>
        </w:rPr>
      </w:pPr>
      <w:r w:rsidRPr="00C2396E">
        <w:rPr>
          <w:color w:val="000000" w:themeColor="text1"/>
        </w:rPr>
        <w:t>Qualification development is carried out in accordance with regulatory and Sector Skill Council requirements, using industry experts throughout the development and consultation processes</w:t>
      </w:r>
    </w:p>
    <w:p w14:paraId="11EBB24E" w14:textId="77777777" w:rsidR="00513295" w:rsidRPr="00C2396E" w:rsidRDefault="00513295" w:rsidP="002324FA">
      <w:pPr>
        <w:spacing w:after="0" w:line="240" w:lineRule="auto"/>
        <w:jc w:val="both"/>
      </w:pPr>
    </w:p>
    <w:p w14:paraId="1A2404AC" w14:textId="77777777" w:rsidR="00513295" w:rsidRPr="00C2396E" w:rsidRDefault="00513295" w:rsidP="002324FA">
      <w:pPr>
        <w:pStyle w:val="Default"/>
        <w:jc w:val="both"/>
        <w:rPr>
          <w:rFonts w:asciiTheme="minorHAnsi" w:hAnsiTheme="minorHAnsi" w:cs="Calibri"/>
          <w:color w:val="auto"/>
          <w:sz w:val="22"/>
          <w:szCs w:val="22"/>
        </w:rPr>
      </w:pPr>
      <w:r w:rsidRPr="00C2396E">
        <w:rPr>
          <w:rFonts w:asciiTheme="minorHAnsi" w:hAnsiTheme="minorHAnsi" w:cs="Calibri"/>
          <w:color w:val="auto"/>
          <w:sz w:val="22"/>
          <w:szCs w:val="22"/>
        </w:rPr>
        <w:t xml:space="preserve">At GQA, our purpose is simple: to add life to a lifetime of learning. We believe that every learning opportunity is a chance for a personal breakthrough. That’s why our colleagues are committed to creating vibrant and enriching learning experiences designed for real-life impact. </w:t>
      </w:r>
    </w:p>
    <w:p w14:paraId="446DB40C" w14:textId="77777777" w:rsidR="007E2872" w:rsidRPr="00C2396E" w:rsidRDefault="007E2872" w:rsidP="002324FA">
      <w:pPr>
        <w:spacing w:after="0" w:line="240" w:lineRule="auto"/>
        <w:jc w:val="both"/>
      </w:pPr>
    </w:p>
    <w:p w14:paraId="05A97AFF" w14:textId="59778EC2" w:rsidR="00803E15" w:rsidRPr="00C2396E" w:rsidRDefault="00863C2A" w:rsidP="003F01AE">
      <w:pPr>
        <w:pStyle w:val="Default"/>
        <w:numPr>
          <w:ilvl w:val="0"/>
          <w:numId w:val="14"/>
        </w:numPr>
        <w:jc w:val="both"/>
        <w:outlineLvl w:val="0"/>
        <w:rPr>
          <w:rFonts w:asciiTheme="minorHAnsi" w:hAnsiTheme="minorHAnsi"/>
          <w:b/>
          <w:bCs/>
          <w:sz w:val="32"/>
          <w:szCs w:val="32"/>
        </w:rPr>
      </w:pPr>
      <w:bookmarkStart w:id="1" w:name="_Toc190354475"/>
      <w:r w:rsidRPr="00C2396E">
        <w:rPr>
          <w:rFonts w:asciiTheme="minorHAnsi" w:hAnsiTheme="minorHAnsi"/>
          <w:b/>
          <w:bCs/>
          <w:sz w:val="32"/>
          <w:szCs w:val="32"/>
        </w:rPr>
        <w:t xml:space="preserve">Policy </w:t>
      </w:r>
      <w:r w:rsidR="00B2244B">
        <w:rPr>
          <w:rFonts w:asciiTheme="minorHAnsi" w:hAnsiTheme="minorHAnsi"/>
          <w:b/>
          <w:bCs/>
          <w:sz w:val="32"/>
          <w:szCs w:val="32"/>
        </w:rPr>
        <w:t>S</w:t>
      </w:r>
      <w:r w:rsidRPr="00C2396E">
        <w:rPr>
          <w:rFonts w:asciiTheme="minorHAnsi" w:hAnsiTheme="minorHAnsi"/>
          <w:b/>
          <w:bCs/>
          <w:sz w:val="32"/>
          <w:szCs w:val="32"/>
        </w:rPr>
        <w:t>tatement</w:t>
      </w:r>
    </w:p>
    <w:p w14:paraId="72EBA7CE" w14:textId="4998C9D3" w:rsidR="003F01AE" w:rsidRPr="003F01AE" w:rsidRDefault="003F01AE" w:rsidP="003F01AE">
      <w:pPr>
        <w:pStyle w:val="BodyText"/>
        <w:ind w:right="261"/>
        <w:jc w:val="both"/>
        <w:rPr>
          <w:rFonts w:asciiTheme="minorHAnsi" w:hAnsiTheme="minorHAnsi"/>
        </w:rPr>
      </w:pPr>
      <w:r>
        <w:rPr>
          <w:rFonts w:asciiTheme="minorHAnsi" w:hAnsiTheme="minorHAnsi"/>
        </w:rPr>
        <w:t>O</w:t>
      </w:r>
      <w:r w:rsidRPr="003F01AE">
        <w:rPr>
          <w:rFonts w:asciiTheme="minorHAnsi" w:hAnsiTheme="minorHAnsi"/>
        </w:rPr>
        <w:t xml:space="preserve">ur </w:t>
      </w:r>
      <w:proofErr w:type="spellStart"/>
      <w:r w:rsidRPr="003F01AE">
        <w:rPr>
          <w:rFonts w:asciiTheme="minorHAnsi" w:hAnsiTheme="minorHAnsi"/>
        </w:rPr>
        <w:t>organisation</w:t>
      </w:r>
      <w:proofErr w:type="spellEnd"/>
      <w:r w:rsidRPr="003F01AE">
        <w:rPr>
          <w:rFonts w:asciiTheme="minorHAnsi" w:hAnsiTheme="minorHAnsi"/>
        </w:rPr>
        <w:t xml:space="preserve"> </w:t>
      </w:r>
      <w:proofErr w:type="spellStart"/>
      <w:r w:rsidRPr="003F01AE">
        <w:rPr>
          <w:rFonts w:asciiTheme="minorHAnsi" w:hAnsiTheme="minorHAnsi"/>
        </w:rPr>
        <w:t>recognises</w:t>
      </w:r>
      <w:proofErr w:type="spellEnd"/>
      <w:r w:rsidRPr="003F01AE">
        <w:rPr>
          <w:rFonts w:asciiTheme="minorHAnsi" w:hAnsiTheme="minorHAnsi"/>
        </w:rPr>
        <w:t xml:space="preserve"> the importance of language diversity and</w:t>
      </w:r>
      <w:r w:rsidRPr="003F01AE">
        <w:rPr>
          <w:rFonts w:asciiTheme="minorHAnsi" w:hAnsiTheme="minorHAnsi"/>
          <w:spacing w:val="-1"/>
        </w:rPr>
        <w:t xml:space="preserve"> </w:t>
      </w:r>
      <w:r w:rsidRPr="003F01AE">
        <w:rPr>
          <w:rFonts w:asciiTheme="minorHAnsi" w:hAnsiTheme="minorHAnsi"/>
        </w:rPr>
        <w:t xml:space="preserve">cultural inclusivity. As an </w:t>
      </w:r>
      <w:proofErr w:type="spellStart"/>
      <w:r w:rsidRPr="003F01AE">
        <w:rPr>
          <w:rFonts w:asciiTheme="minorHAnsi" w:hAnsiTheme="minorHAnsi"/>
        </w:rPr>
        <w:t>organisation</w:t>
      </w:r>
      <w:proofErr w:type="spellEnd"/>
      <w:r w:rsidRPr="003F01AE">
        <w:rPr>
          <w:rFonts w:asciiTheme="minorHAnsi" w:hAnsiTheme="minorHAnsi"/>
        </w:rPr>
        <w:t xml:space="preserve"> committed to providing educational opportunities, we aim to accommodate the linguistic needs of our learners to the best of our abilities. However, due to certain constraints and</w:t>
      </w:r>
      <w:r w:rsidRPr="003F01AE">
        <w:rPr>
          <w:rFonts w:asciiTheme="minorHAnsi" w:hAnsiTheme="minorHAnsi"/>
          <w:spacing w:val="-7"/>
        </w:rPr>
        <w:t xml:space="preserve"> </w:t>
      </w:r>
      <w:r w:rsidRPr="003F01AE">
        <w:rPr>
          <w:rFonts w:asciiTheme="minorHAnsi" w:hAnsiTheme="minorHAnsi"/>
        </w:rPr>
        <w:t>considerations,</w:t>
      </w:r>
      <w:r w:rsidRPr="003F01AE">
        <w:rPr>
          <w:rFonts w:asciiTheme="minorHAnsi" w:hAnsiTheme="minorHAnsi"/>
          <w:spacing w:val="-9"/>
        </w:rPr>
        <w:t xml:space="preserve"> </w:t>
      </w:r>
      <w:r w:rsidRPr="003F01AE">
        <w:rPr>
          <w:rFonts w:asciiTheme="minorHAnsi" w:hAnsiTheme="minorHAnsi"/>
        </w:rPr>
        <w:t>we</w:t>
      </w:r>
      <w:r w:rsidRPr="003F01AE">
        <w:rPr>
          <w:rFonts w:asciiTheme="minorHAnsi" w:hAnsiTheme="minorHAnsi"/>
          <w:spacing w:val="-7"/>
        </w:rPr>
        <w:t xml:space="preserve"> </w:t>
      </w:r>
      <w:r w:rsidRPr="003F01AE">
        <w:rPr>
          <w:rFonts w:asciiTheme="minorHAnsi" w:hAnsiTheme="minorHAnsi"/>
        </w:rPr>
        <w:t>have</w:t>
      </w:r>
      <w:r w:rsidRPr="003F01AE">
        <w:rPr>
          <w:rFonts w:asciiTheme="minorHAnsi" w:hAnsiTheme="minorHAnsi"/>
          <w:spacing w:val="-6"/>
        </w:rPr>
        <w:t xml:space="preserve"> </w:t>
      </w:r>
      <w:r w:rsidRPr="003F01AE">
        <w:rPr>
          <w:rFonts w:asciiTheme="minorHAnsi" w:hAnsiTheme="minorHAnsi"/>
        </w:rPr>
        <w:t>made</w:t>
      </w:r>
      <w:r w:rsidRPr="003F01AE">
        <w:rPr>
          <w:rFonts w:asciiTheme="minorHAnsi" w:hAnsiTheme="minorHAnsi"/>
          <w:spacing w:val="-7"/>
        </w:rPr>
        <w:t xml:space="preserve"> </w:t>
      </w:r>
      <w:r w:rsidRPr="003F01AE">
        <w:rPr>
          <w:rFonts w:asciiTheme="minorHAnsi" w:hAnsiTheme="minorHAnsi"/>
        </w:rPr>
        <w:t>the</w:t>
      </w:r>
      <w:r w:rsidRPr="003F01AE">
        <w:rPr>
          <w:rFonts w:asciiTheme="minorHAnsi" w:hAnsiTheme="minorHAnsi"/>
          <w:spacing w:val="-7"/>
        </w:rPr>
        <w:t xml:space="preserve"> </w:t>
      </w:r>
      <w:r w:rsidRPr="003F01AE">
        <w:rPr>
          <w:rFonts w:asciiTheme="minorHAnsi" w:hAnsiTheme="minorHAnsi"/>
        </w:rPr>
        <w:t>decision</w:t>
      </w:r>
      <w:r w:rsidRPr="003F01AE">
        <w:rPr>
          <w:rFonts w:asciiTheme="minorHAnsi" w:hAnsiTheme="minorHAnsi"/>
          <w:spacing w:val="-5"/>
        </w:rPr>
        <w:t xml:space="preserve"> </w:t>
      </w:r>
      <w:r w:rsidRPr="003F01AE">
        <w:rPr>
          <w:rFonts w:asciiTheme="minorHAnsi" w:hAnsiTheme="minorHAnsi"/>
          <w:b/>
        </w:rPr>
        <w:t>not</w:t>
      </w:r>
      <w:r w:rsidRPr="003F01AE">
        <w:rPr>
          <w:rFonts w:asciiTheme="minorHAnsi" w:hAnsiTheme="minorHAnsi"/>
          <w:spacing w:val="-7"/>
        </w:rPr>
        <w:t xml:space="preserve"> </w:t>
      </w:r>
      <w:r w:rsidRPr="003F01AE">
        <w:rPr>
          <w:rFonts w:asciiTheme="minorHAnsi" w:hAnsiTheme="minorHAnsi"/>
          <w:b/>
        </w:rPr>
        <w:t>to</w:t>
      </w:r>
      <w:r w:rsidRPr="003F01AE">
        <w:rPr>
          <w:rFonts w:asciiTheme="minorHAnsi" w:hAnsiTheme="minorHAnsi"/>
          <w:spacing w:val="-7"/>
        </w:rPr>
        <w:t xml:space="preserve"> </w:t>
      </w:r>
      <w:r w:rsidRPr="003F01AE">
        <w:rPr>
          <w:rFonts w:asciiTheme="minorHAnsi" w:hAnsiTheme="minorHAnsi"/>
          <w:b/>
        </w:rPr>
        <w:t>offer</w:t>
      </w:r>
      <w:r w:rsidRPr="003F01AE">
        <w:rPr>
          <w:rFonts w:asciiTheme="minorHAnsi" w:hAnsiTheme="minorHAnsi"/>
          <w:spacing w:val="-6"/>
        </w:rPr>
        <w:t xml:space="preserve"> </w:t>
      </w:r>
      <w:r w:rsidRPr="003F01AE">
        <w:rPr>
          <w:rFonts w:asciiTheme="minorHAnsi" w:hAnsiTheme="minorHAnsi"/>
          <w:b/>
        </w:rPr>
        <w:t>qualifications</w:t>
      </w:r>
      <w:r w:rsidRPr="003F01AE">
        <w:rPr>
          <w:rFonts w:asciiTheme="minorHAnsi" w:hAnsiTheme="minorHAnsi"/>
          <w:spacing w:val="-5"/>
        </w:rPr>
        <w:t xml:space="preserve"> </w:t>
      </w:r>
      <w:r w:rsidRPr="003F01AE">
        <w:rPr>
          <w:rFonts w:asciiTheme="minorHAnsi" w:hAnsiTheme="minorHAnsi"/>
          <w:b/>
        </w:rPr>
        <w:t>through</w:t>
      </w:r>
      <w:r w:rsidRPr="003F01AE">
        <w:rPr>
          <w:rFonts w:asciiTheme="minorHAnsi" w:hAnsiTheme="minorHAnsi"/>
          <w:spacing w:val="-7"/>
        </w:rPr>
        <w:t xml:space="preserve"> </w:t>
      </w:r>
      <w:r w:rsidRPr="003F01AE">
        <w:rPr>
          <w:rFonts w:asciiTheme="minorHAnsi" w:hAnsiTheme="minorHAnsi"/>
          <w:b/>
        </w:rPr>
        <w:t>the</w:t>
      </w:r>
      <w:r w:rsidRPr="003F01AE">
        <w:rPr>
          <w:rFonts w:asciiTheme="minorHAnsi" w:hAnsiTheme="minorHAnsi"/>
        </w:rPr>
        <w:t xml:space="preserve"> </w:t>
      </w:r>
      <w:r w:rsidRPr="003F01AE">
        <w:rPr>
          <w:rFonts w:asciiTheme="minorHAnsi" w:hAnsiTheme="minorHAnsi"/>
          <w:b/>
        </w:rPr>
        <w:t>medium</w:t>
      </w:r>
      <w:r w:rsidRPr="003F01AE">
        <w:rPr>
          <w:rFonts w:asciiTheme="minorHAnsi" w:hAnsiTheme="minorHAnsi"/>
        </w:rPr>
        <w:t xml:space="preserve"> </w:t>
      </w:r>
      <w:r w:rsidRPr="003F01AE">
        <w:rPr>
          <w:rFonts w:asciiTheme="minorHAnsi" w:hAnsiTheme="minorHAnsi"/>
          <w:b/>
        </w:rPr>
        <w:t>of</w:t>
      </w:r>
      <w:r w:rsidRPr="003F01AE">
        <w:rPr>
          <w:rFonts w:asciiTheme="minorHAnsi" w:hAnsiTheme="minorHAnsi"/>
        </w:rPr>
        <w:t xml:space="preserve"> </w:t>
      </w:r>
      <w:r w:rsidRPr="003F01AE">
        <w:rPr>
          <w:rFonts w:asciiTheme="minorHAnsi" w:hAnsiTheme="minorHAnsi"/>
          <w:b/>
        </w:rPr>
        <w:t>Welsh</w:t>
      </w:r>
      <w:r w:rsidRPr="003F01AE">
        <w:rPr>
          <w:rFonts w:asciiTheme="minorHAnsi" w:hAnsiTheme="minorHAnsi"/>
        </w:rPr>
        <w:t xml:space="preserve"> </w:t>
      </w:r>
      <w:proofErr w:type="gramStart"/>
      <w:r w:rsidRPr="003F01AE">
        <w:rPr>
          <w:rFonts w:asciiTheme="minorHAnsi" w:hAnsiTheme="minorHAnsi"/>
        </w:rPr>
        <w:t>at this time</w:t>
      </w:r>
      <w:proofErr w:type="gramEnd"/>
      <w:r w:rsidRPr="003F01AE">
        <w:rPr>
          <w:rFonts w:asciiTheme="minorHAnsi" w:hAnsiTheme="minorHAnsi"/>
        </w:rPr>
        <w:t>.</w:t>
      </w:r>
    </w:p>
    <w:p w14:paraId="55918B29" w14:textId="77777777" w:rsidR="003F01AE" w:rsidRPr="003F01AE" w:rsidRDefault="003F01AE" w:rsidP="003F01AE">
      <w:pPr>
        <w:pStyle w:val="BodyText"/>
        <w:spacing w:before="156"/>
        <w:jc w:val="both"/>
        <w:rPr>
          <w:rFonts w:asciiTheme="minorHAnsi" w:hAnsiTheme="minorHAnsi"/>
        </w:rPr>
      </w:pPr>
      <w:r w:rsidRPr="003F01AE">
        <w:rPr>
          <w:rFonts w:asciiTheme="minorHAnsi" w:hAnsiTheme="minorHAnsi"/>
        </w:rPr>
        <w:t>The</w:t>
      </w:r>
      <w:r w:rsidRPr="003F01AE">
        <w:rPr>
          <w:rFonts w:asciiTheme="minorHAnsi" w:hAnsiTheme="minorHAnsi"/>
          <w:spacing w:val="5"/>
        </w:rPr>
        <w:t xml:space="preserve"> </w:t>
      </w:r>
      <w:r w:rsidRPr="003F01AE">
        <w:rPr>
          <w:rFonts w:asciiTheme="minorHAnsi" w:hAnsiTheme="minorHAnsi"/>
        </w:rPr>
        <w:t>decision</w:t>
      </w:r>
      <w:r w:rsidRPr="003F01AE">
        <w:rPr>
          <w:rFonts w:asciiTheme="minorHAnsi" w:hAnsiTheme="minorHAnsi"/>
          <w:spacing w:val="6"/>
        </w:rPr>
        <w:t xml:space="preserve"> </w:t>
      </w:r>
      <w:r w:rsidRPr="003F01AE">
        <w:rPr>
          <w:rFonts w:asciiTheme="minorHAnsi" w:hAnsiTheme="minorHAnsi"/>
        </w:rPr>
        <w:t>not</w:t>
      </w:r>
      <w:r w:rsidRPr="003F01AE">
        <w:rPr>
          <w:rFonts w:asciiTheme="minorHAnsi" w:hAnsiTheme="minorHAnsi"/>
          <w:spacing w:val="5"/>
        </w:rPr>
        <w:t xml:space="preserve"> </w:t>
      </w:r>
      <w:r w:rsidRPr="003F01AE">
        <w:rPr>
          <w:rFonts w:asciiTheme="minorHAnsi" w:hAnsiTheme="minorHAnsi"/>
        </w:rPr>
        <w:t>to</w:t>
      </w:r>
      <w:r w:rsidRPr="003F01AE">
        <w:rPr>
          <w:rFonts w:asciiTheme="minorHAnsi" w:hAnsiTheme="minorHAnsi"/>
          <w:spacing w:val="7"/>
        </w:rPr>
        <w:t xml:space="preserve"> </w:t>
      </w:r>
      <w:r w:rsidRPr="003F01AE">
        <w:rPr>
          <w:rFonts w:asciiTheme="minorHAnsi" w:hAnsiTheme="minorHAnsi"/>
        </w:rPr>
        <w:t>offer</w:t>
      </w:r>
      <w:r w:rsidRPr="003F01AE">
        <w:rPr>
          <w:rFonts w:asciiTheme="minorHAnsi" w:hAnsiTheme="minorHAnsi"/>
          <w:spacing w:val="3"/>
        </w:rPr>
        <w:t xml:space="preserve"> </w:t>
      </w:r>
      <w:r w:rsidRPr="003F01AE">
        <w:rPr>
          <w:rFonts w:asciiTheme="minorHAnsi" w:hAnsiTheme="minorHAnsi"/>
        </w:rPr>
        <w:t>qualifications</w:t>
      </w:r>
      <w:r w:rsidRPr="003F01AE">
        <w:rPr>
          <w:rFonts w:asciiTheme="minorHAnsi" w:hAnsiTheme="minorHAnsi"/>
          <w:spacing w:val="5"/>
        </w:rPr>
        <w:t xml:space="preserve"> </w:t>
      </w:r>
      <w:r w:rsidRPr="003F01AE">
        <w:rPr>
          <w:rFonts w:asciiTheme="minorHAnsi" w:hAnsiTheme="minorHAnsi"/>
        </w:rPr>
        <w:t>in</w:t>
      </w:r>
      <w:r w:rsidRPr="003F01AE">
        <w:rPr>
          <w:rFonts w:asciiTheme="minorHAnsi" w:hAnsiTheme="minorHAnsi"/>
          <w:spacing w:val="2"/>
        </w:rPr>
        <w:t xml:space="preserve"> </w:t>
      </w:r>
      <w:r w:rsidRPr="003F01AE">
        <w:rPr>
          <w:rFonts w:asciiTheme="minorHAnsi" w:hAnsiTheme="minorHAnsi"/>
        </w:rPr>
        <w:t>Welsh</w:t>
      </w:r>
      <w:r w:rsidRPr="003F01AE">
        <w:rPr>
          <w:rFonts w:asciiTheme="minorHAnsi" w:hAnsiTheme="minorHAnsi"/>
          <w:spacing w:val="5"/>
        </w:rPr>
        <w:t xml:space="preserve"> </w:t>
      </w:r>
      <w:r w:rsidRPr="003F01AE">
        <w:rPr>
          <w:rFonts w:asciiTheme="minorHAnsi" w:hAnsiTheme="minorHAnsi"/>
        </w:rPr>
        <w:t>is</w:t>
      </w:r>
      <w:r w:rsidRPr="003F01AE">
        <w:rPr>
          <w:rFonts w:asciiTheme="minorHAnsi" w:hAnsiTheme="minorHAnsi"/>
          <w:spacing w:val="6"/>
        </w:rPr>
        <w:t xml:space="preserve"> </w:t>
      </w:r>
      <w:r w:rsidRPr="003F01AE">
        <w:rPr>
          <w:rFonts w:asciiTheme="minorHAnsi" w:hAnsiTheme="minorHAnsi"/>
        </w:rPr>
        <w:t>based</w:t>
      </w:r>
      <w:r w:rsidRPr="003F01AE">
        <w:rPr>
          <w:rFonts w:asciiTheme="minorHAnsi" w:hAnsiTheme="minorHAnsi"/>
          <w:spacing w:val="5"/>
        </w:rPr>
        <w:t xml:space="preserve"> </w:t>
      </w:r>
      <w:r w:rsidRPr="003F01AE">
        <w:rPr>
          <w:rFonts w:asciiTheme="minorHAnsi" w:hAnsiTheme="minorHAnsi"/>
        </w:rPr>
        <w:t>on</w:t>
      </w:r>
      <w:r w:rsidRPr="003F01AE">
        <w:rPr>
          <w:rFonts w:asciiTheme="minorHAnsi" w:hAnsiTheme="minorHAnsi"/>
          <w:spacing w:val="6"/>
        </w:rPr>
        <w:t xml:space="preserve"> </w:t>
      </w:r>
      <w:r w:rsidRPr="003F01AE">
        <w:rPr>
          <w:rFonts w:asciiTheme="minorHAnsi" w:hAnsiTheme="minorHAnsi"/>
        </w:rPr>
        <w:t>the</w:t>
      </w:r>
      <w:r w:rsidRPr="003F01AE">
        <w:rPr>
          <w:rFonts w:asciiTheme="minorHAnsi" w:hAnsiTheme="minorHAnsi"/>
          <w:spacing w:val="5"/>
        </w:rPr>
        <w:t xml:space="preserve"> </w:t>
      </w:r>
      <w:r w:rsidRPr="003F01AE">
        <w:rPr>
          <w:rFonts w:asciiTheme="minorHAnsi" w:hAnsiTheme="minorHAnsi"/>
        </w:rPr>
        <w:t>following</w:t>
      </w:r>
      <w:r w:rsidRPr="003F01AE">
        <w:rPr>
          <w:rFonts w:asciiTheme="minorHAnsi" w:hAnsiTheme="minorHAnsi"/>
          <w:spacing w:val="6"/>
        </w:rPr>
        <w:t xml:space="preserve"> </w:t>
      </w:r>
      <w:r w:rsidRPr="003F01AE">
        <w:rPr>
          <w:rFonts w:asciiTheme="minorHAnsi" w:hAnsiTheme="minorHAnsi"/>
          <w:spacing w:val="-2"/>
        </w:rPr>
        <w:t>factors:</w:t>
      </w:r>
    </w:p>
    <w:p w14:paraId="4B949184" w14:textId="77777777" w:rsidR="003F01AE" w:rsidRPr="003F01AE" w:rsidRDefault="003F01AE" w:rsidP="003F01AE">
      <w:pPr>
        <w:pStyle w:val="Heading1"/>
        <w:keepNext w:val="0"/>
        <w:keepLines w:val="0"/>
        <w:widowControl w:val="0"/>
        <w:numPr>
          <w:ilvl w:val="0"/>
          <w:numId w:val="13"/>
        </w:numPr>
        <w:tabs>
          <w:tab w:val="left" w:pos="474"/>
        </w:tabs>
        <w:autoSpaceDE w:val="0"/>
        <w:autoSpaceDN w:val="0"/>
        <w:spacing w:before="168" w:after="0" w:line="240" w:lineRule="auto"/>
        <w:ind w:hanging="361"/>
        <w:jc w:val="both"/>
        <w:rPr>
          <w:rFonts w:asciiTheme="minorHAnsi" w:hAnsiTheme="minorHAnsi"/>
          <w:color w:val="auto"/>
          <w:sz w:val="22"/>
          <w:szCs w:val="22"/>
        </w:rPr>
      </w:pPr>
      <w:r w:rsidRPr="003F01AE">
        <w:rPr>
          <w:rFonts w:asciiTheme="minorHAnsi" w:hAnsiTheme="minorHAnsi"/>
          <w:color w:val="auto"/>
          <w:spacing w:val="-4"/>
          <w:sz w:val="22"/>
          <w:szCs w:val="22"/>
        </w:rPr>
        <w:t>Availability</w:t>
      </w:r>
      <w:r w:rsidRPr="003F01AE">
        <w:rPr>
          <w:rFonts w:asciiTheme="minorHAnsi" w:hAnsiTheme="minorHAnsi"/>
          <w:color w:val="auto"/>
          <w:spacing w:val="-8"/>
          <w:sz w:val="22"/>
          <w:szCs w:val="22"/>
        </w:rPr>
        <w:t xml:space="preserve"> </w:t>
      </w:r>
      <w:r w:rsidRPr="003F01AE">
        <w:rPr>
          <w:rFonts w:asciiTheme="minorHAnsi" w:hAnsiTheme="minorHAnsi"/>
          <w:color w:val="auto"/>
          <w:spacing w:val="-4"/>
          <w:sz w:val="22"/>
          <w:szCs w:val="22"/>
        </w:rPr>
        <w:t>of</w:t>
      </w:r>
      <w:r w:rsidRPr="003F01AE">
        <w:rPr>
          <w:rFonts w:asciiTheme="minorHAnsi" w:hAnsiTheme="minorHAnsi"/>
          <w:color w:val="auto"/>
          <w:spacing w:val="-9"/>
          <w:sz w:val="22"/>
          <w:szCs w:val="22"/>
        </w:rPr>
        <w:t xml:space="preserve"> </w:t>
      </w:r>
      <w:r w:rsidRPr="003F01AE">
        <w:rPr>
          <w:rFonts w:asciiTheme="minorHAnsi" w:hAnsiTheme="minorHAnsi"/>
          <w:color w:val="auto"/>
          <w:spacing w:val="-4"/>
          <w:sz w:val="22"/>
          <w:szCs w:val="22"/>
        </w:rPr>
        <w:t>resources</w:t>
      </w:r>
    </w:p>
    <w:p w14:paraId="1D9F44D4" w14:textId="77777777" w:rsidR="003F01AE" w:rsidRPr="003F01AE" w:rsidRDefault="003F01AE" w:rsidP="003F01AE">
      <w:pPr>
        <w:pStyle w:val="BodyText"/>
        <w:spacing w:before="55"/>
        <w:ind w:left="115"/>
        <w:jc w:val="both"/>
        <w:rPr>
          <w:rFonts w:asciiTheme="minorHAnsi" w:hAnsiTheme="minorHAnsi"/>
        </w:rPr>
      </w:pPr>
      <w:r w:rsidRPr="003F01AE">
        <w:rPr>
          <w:rFonts w:asciiTheme="minorHAnsi" w:hAnsiTheme="minorHAnsi"/>
        </w:rPr>
        <w:t xml:space="preserve">Developing and delivering qualifications through multiple mediums requires significant resources, including qualified personnel, curriculum development, and assessment materials. Given our current resource constraints, we have </w:t>
      </w:r>
      <w:proofErr w:type="spellStart"/>
      <w:r w:rsidRPr="003F01AE">
        <w:rPr>
          <w:rFonts w:asciiTheme="minorHAnsi" w:hAnsiTheme="minorHAnsi"/>
        </w:rPr>
        <w:t>prioritised</w:t>
      </w:r>
      <w:proofErr w:type="spellEnd"/>
      <w:r w:rsidRPr="003F01AE">
        <w:rPr>
          <w:rFonts w:asciiTheme="minorHAnsi" w:hAnsiTheme="minorHAnsi"/>
        </w:rPr>
        <w:t xml:space="preserve"> offering qualifications in languages with higher demand and broader accessibility.</w:t>
      </w:r>
    </w:p>
    <w:p w14:paraId="0220449F" w14:textId="77777777" w:rsidR="003F01AE" w:rsidRPr="003F01AE" w:rsidRDefault="003F01AE" w:rsidP="003F01AE">
      <w:pPr>
        <w:pStyle w:val="Heading1"/>
        <w:keepNext w:val="0"/>
        <w:keepLines w:val="0"/>
        <w:widowControl w:val="0"/>
        <w:numPr>
          <w:ilvl w:val="0"/>
          <w:numId w:val="13"/>
        </w:numPr>
        <w:tabs>
          <w:tab w:val="left" w:pos="474"/>
        </w:tabs>
        <w:autoSpaceDE w:val="0"/>
        <w:autoSpaceDN w:val="0"/>
        <w:spacing w:before="199" w:after="0" w:line="240" w:lineRule="auto"/>
        <w:ind w:hanging="361"/>
        <w:jc w:val="both"/>
        <w:rPr>
          <w:rFonts w:asciiTheme="minorHAnsi" w:hAnsiTheme="minorHAnsi"/>
          <w:color w:val="auto"/>
          <w:sz w:val="22"/>
          <w:szCs w:val="22"/>
        </w:rPr>
      </w:pPr>
      <w:r w:rsidRPr="003F01AE">
        <w:rPr>
          <w:rFonts w:asciiTheme="minorHAnsi" w:hAnsiTheme="minorHAnsi"/>
          <w:color w:val="auto"/>
          <w:spacing w:val="-5"/>
          <w:sz w:val="22"/>
          <w:szCs w:val="22"/>
        </w:rPr>
        <w:t>Market</w:t>
      </w:r>
      <w:r w:rsidRPr="003F01AE">
        <w:rPr>
          <w:rFonts w:asciiTheme="minorHAnsi" w:hAnsiTheme="minorHAnsi"/>
          <w:color w:val="auto"/>
          <w:spacing w:val="-4"/>
          <w:sz w:val="22"/>
          <w:szCs w:val="22"/>
        </w:rPr>
        <w:t xml:space="preserve"> </w:t>
      </w:r>
      <w:r w:rsidRPr="003F01AE">
        <w:rPr>
          <w:rFonts w:asciiTheme="minorHAnsi" w:hAnsiTheme="minorHAnsi"/>
          <w:color w:val="auto"/>
          <w:spacing w:val="-2"/>
          <w:sz w:val="22"/>
          <w:szCs w:val="22"/>
        </w:rPr>
        <w:t>demand</w:t>
      </w:r>
    </w:p>
    <w:p w14:paraId="2AF545CE" w14:textId="77777777" w:rsidR="003F01AE" w:rsidRPr="003F01AE" w:rsidRDefault="003F01AE" w:rsidP="003F01AE">
      <w:pPr>
        <w:pStyle w:val="BodyText"/>
        <w:spacing w:before="55"/>
        <w:ind w:left="115" w:right="189"/>
        <w:jc w:val="both"/>
        <w:rPr>
          <w:rFonts w:asciiTheme="minorHAnsi" w:hAnsiTheme="minorHAnsi"/>
        </w:rPr>
      </w:pPr>
      <w:r w:rsidRPr="003F01AE">
        <w:rPr>
          <w:rFonts w:asciiTheme="minorHAnsi" w:hAnsiTheme="minorHAnsi"/>
        </w:rPr>
        <w:t xml:space="preserve">While we </w:t>
      </w:r>
      <w:proofErr w:type="spellStart"/>
      <w:r w:rsidRPr="003F01AE">
        <w:rPr>
          <w:rFonts w:asciiTheme="minorHAnsi" w:hAnsiTheme="minorHAnsi"/>
        </w:rPr>
        <w:t>recognise</w:t>
      </w:r>
      <w:proofErr w:type="spellEnd"/>
      <w:r w:rsidRPr="003F01AE">
        <w:rPr>
          <w:rFonts w:asciiTheme="minorHAnsi" w:hAnsiTheme="minorHAnsi"/>
        </w:rPr>
        <w:t xml:space="preserve"> the importance of Welsh-medium education, the demand for qualifications through the medium of Welsh may vary across different regions and sectors. Our decision is also influenced by the demand from employers, training providers and colleges, higher education institutions, and other stakeholders, which </w:t>
      </w:r>
      <w:proofErr w:type="gramStart"/>
      <w:r w:rsidRPr="003F01AE">
        <w:rPr>
          <w:rFonts w:asciiTheme="minorHAnsi" w:hAnsiTheme="minorHAnsi"/>
        </w:rPr>
        <w:t>helps</w:t>
      </w:r>
      <w:proofErr w:type="gramEnd"/>
      <w:r w:rsidRPr="003F01AE">
        <w:rPr>
          <w:rFonts w:asciiTheme="minorHAnsi" w:hAnsiTheme="minorHAnsi"/>
        </w:rPr>
        <w:t xml:space="preserve"> guide our qualification offer.</w:t>
      </w:r>
    </w:p>
    <w:p w14:paraId="1E83B29A" w14:textId="77777777" w:rsidR="003F01AE" w:rsidRPr="003F01AE" w:rsidRDefault="003F01AE" w:rsidP="003F01AE">
      <w:pPr>
        <w:pStyle w:val="Heading1"/>
        <w:keepNext w:val="0"/>
        <w:keepLines w:val="0"/>
        <w:widowControl w:val="0"/>
        <w:numPr>
          <w:ilvl w:val="0"/>
          <w:numId w:val="13"/>
        </w:numPr>
        <w:tabs>
          <w:tab w:val="left" w:pos="474"/>
        </w:tabs>
        <w:autoSpaceDE w:val="0"/>
        <w:autoSpaceDN w:val="0"/>
        <w:spacing w:before="199" w:after="0" w:line="240" w:lineRule="auto"/>
        <w:ind w:hanging="361"/>
        <w:jc w:val="both"/>
        <w:rPr>
          <w:rFonts w:asciiTheme="minorHAnsi" w:hAnsiTheme="minorHAnsi"/>
          <w:sz w:val="22"/>
          <w:szCs w:val="22"/>
        </w:rPr>
      </w:pPr>
      <w:r w:rsidRPr="003F01AE">
        <w:rPr>
          <w:rFonts w:asciiTheme="minorHAnsi" w:hAnsiTheme="minorHAnsi"/>
          <w:color w:val="auto"/>
          <w:spacing w:val="-8"/>
          <w:sz w:val="22"/>
          <w:szCs w:val="22"/>
        </w:rPr>
        <w:t>Alignment</w:t>
      </w:r>
      <w:r w:rsidRPr="003F01AE">
        <w:rPr>
          <w:rFonts w:asciiTheme="minorHAnsi" w:hAnsiTheme="minorHAnsi"/>
          <w:color w:val="auto"/>
          <w:spacing w:val="4"/>
          <w:sz w:val="22"/>
          <w:szCs w:val="22"/>
        </w:rPr>
        <w:t xml:space="preserve"> </w:t>
      </w:r>
      <w:r w:rsidRPr="003F01AE">
        <w:rPr>
          <w:rFonts w:asciiTheme="minorHAnsi" w:hAnsiTheme="minorHAnsi"/>
          <w:color w:val="auto"/>
          <w:spacing w:val="-8"/>
          <w:sz w:val="22"/>
          <w:szCs w:val="22"/>
        </w:rPr>
        <w:t>with</w:t>
      </w:r>
      <w:r w:rsidRPr="003F01AE">
        <w:rPr>
          <w:rFonts w:asciiTheme="minorHAnsi" w:hAnsiTheme="minorHAnsi"/>
          <w:color w:val="auto"/>
          <w:spacing w:val="4"/>
          <w:sz w:val="22"/>
          <w:szCs w:val="22"/>
        </w:rPr>
        <w:t xml:space="preserve"> </w:t>
      </w:r>
      <w:r w:rsidRPr="003F01AE">
        <w:rPr>
          <w:rFonts w:asciiTheme="minorHAnsi" w:hAnsiTheme="minorHAnsi"/>
          <w:color w:val="auto"/>
          <w:spacing w:val="-8"/>
          <w:sz w:val="22"/>
          <w:szCs w:val="22"/>
        </w:rPr>
        <w:t>Regulator</w:t>
      </w:r>
      <w:r w:rsidRPr="003F01AE">
        <w:rPr>
          <w:rFonts w:asciiTheme="minorHAnsi" w:hAnsiTheme="minorHAnsi"/>
          <w:color w:val="auto"/>
          <w:spacing w:val="5"/>
          <w:sz w:val="22"/>
          <w:szCs w:val="22"/>
        </w:rPr>
        <w:t xml:space="preserve"> </w:t>
      </w:r>
      <w:r w:rsidRPr="003F01AE">
        <w:rPr>
          <w:rFonts w:asciiTheme="minorHAnsi" w:hAnsiTheme="minorHAnsi"/>
          <w:color w:val="auto"/>
          <w:spacing w:val="-8"/>
          <w:sz w:val="22"/>
          <w:szCs w:val="22"/>
        </w:rPr>
        <w:t>Conditions</w:t>
      </w:r>
      <w:r w:rsidRPr="003F01AE">
        <w:rPr>
          <w:rFonts w:asciiTheme="minorHAnsi" w:hAnsiTheme="minorHAnsi"/>
          <w:color w:val="auto"/>
          <w:spacing w:val="3"/>
          <w:sz w:val="22"/>
          <w:szCs w:val="22"/>
        </w:rPr>
        <w:t xml:space="preserve"> </w:t>
      </w:r>
      <w:r w:rsidRPr="003F01AE">
        <w:rPr>
          <w:rFonts w:asciiTheme="minorHAnsi" w:hAnsiTheme="minorHAnsi"/>
          <w:color w:val="auto"/>
          <w:spacing w:val="-8"/>
          <w:sz w:val="22"/>
          <w:szCs w:val="22"/>
        </w:rPr>
        <w:t>and</w:t>
      </w:r>
      <w:r w:rsidRPr="003F01AE">
        <w:rPr>
          <w:rFonts w:asciiTheme="minorHAnsi" w:hAnsiTheme="minorHAnsi"/>
          <w:color w:val="auto"/>
          <w:spacing w:val="5"/>
          <w:sz w:val="22"/>
          <w:szCs w:val="22"/>
        </w:rPr>
        <w:t xml:space="preserve"> </w:t>
      </w:r>
      <w:r w:rsidRPr="003F01AE">
        <w:rPr>
          <w:rFonts w:asciiTheme="minorHAnsi" w:hAnsiTheme="minorHAnsi"/>
          <w:color w:val="auto"/>
          <w:spacing w:val="-8"/>
          <w:sz w:val="22"/>
          <w:szCs w:val="22"/>
        </w:rPr>
        <w:t>Requirements</w:t>
      </w:r>
    </w:p>
    <w:p w14:paraId="3D67825B" w14:textId="77777777" w:rsidR="003F01AE" w:rsidRPr="003F01AE" w:rsidRDefault="003F01AE" w:rsidP="003F01AE">
      <w:pPr>
        <w:pStyle w:val="BodyText"/>
        <w:spacing w:before="55"/>
        <w:ind w:left="115" w:right="263"/>
        <w:jc w:val="both"/>
        <w:rPr>
          <w:rFonts w:asciiTheme="minorHAnsi" w:hAnsiTheme="minorHAnsi"/>
        </w:rPr>
      </w:pPr>
      <w:r w:rsidRPr="003F01AE">
        <w:rPr>
          <w:rFonts w:asciiTheme="minorHAnsi" w:hAnsiTheme="minorHAnsi"/>
        </w:rPr>
        <w:t>Regulations published in respect of the qualifications we offer often have specific requirements and standards set outside Wales. In some cases, offering qualifications in Welsh may require additional approval and compliance measures that pose logistical and practical challenges at this time.</w:t>
      </w:r>
    </w:p>
    <w:p w14:paraId="4700B0AE" w14:textId="77777777" w:rsidR="003F01AE" w:rsidRPr="003F01AE" w:rsidRDefault="003F01AE" w:rsidP="003F01AE">
      <w:pPr>
        <w:pStyle w:val="BodyText"/>
        <w:spacing w:before="12"/>
        <w:jc w:val="both"/>
        <w:rPr>
          <w:rFonts w:asciiTheme="minorHAnsi" w:hAnsiTheme="minorHAnsi"/>
        </w:rPr>
      </w:pPr>
    </w:p>
    <w:p w14:paraId="0086D1F7" w14:textId="77777777" w:rsidR="003F01AE" w:rsidRPr="003F01AE" w:rsidRDefault="003F01AE" w:rsidP="003F01AE">
      <w:pPr>
        <w:pStyle w:val="BodyText"/>
        <w:jc w:val="both"/>
        <w:rPr>
          <w:rFonts w:asciiTheme="minorHAnsi" w:hAnsiTheme="minorHAnsi"/>
        </w:rPr>
      </w:pPr>
      <w:r w:rsidRPr="003F01AE">
        <w:rPr>
          <w:rFonts w:asciiTheme="minorHAnsi" w:hAnsiTheme="minorHAnsi"/>
        </w:rPr>
        <w:t>We</w:t>
      </w:r>
      <w:r w:rsidRPr="003F01AE">
        <w:rPr>
          <w:rFonts w:asciiTheme="minorHAnsi" w:hAnsiTheme="minorHAnsi"/>
          <w:spacing w:val="-3"/>
        </w:rPr>
        <w:t xml:space="preserve"> </w:t>
      </w:r>
      <w:r w:rsidRPr="003F01AE">
        <w:rPr>
          <w:rFonts w:asciiTheme="minorHAnsi" w:hAnsiTheme="minorHAnsi"/>
        </w:rPr>
        <w:t>will</w:t>
      </w:r>
      <w:r w:rsidRPr="003F01AE">
        <w:rPr>
          <w:rFonts w:asciiTheme="minorHAnsi" w:hAnsiTheme="minorHAnsi"/>
          <w:spacing w:val="-3"/>
        </w:rPr>
        <w:t xml:space="preserve"> </w:t>
      </w:r>
      <w:r w:rsidRPr="003F01AE">
        <w:rPr>
          <w:rFonts w:asciiTheme="minorHAnsi" w:hAnsiTheme="minorHAnsi"/>
        </w:rPr>
        <w:t>periodically</w:t>
      </w:r>
      <w:r w:rsidRPr="003F01AE">
        <w:rPr>
          <w:rFonts w:asciiTheme="minorHAnsi" w:hAnsiTheme="minorHAnsi"/>
          <w:spacing w:val="-2"/>
        </w:rPr>
        <w:t xml:space="preserve"> </w:t>
      </w:r>
      <w:r w:rsidRPr="003F01AE">
        <w:rPr>
          <w:rFonts w:asciiTheme="minorHAnsi" w:hAnsiTheme="minorHAnsi"/>
        </w:rPr>
        <w:t>review</w:t>
      </w:r>
      <w:r w:rsidRPr="003F01AE">
        <w:rPr>
          <w:rFonts w:asciiTheme="minorHAnsi" w:hAnsiTheme="minorHAnsi"/>
          <w:spacing w:val="-2"/>
        </w:rPr>
        <w:t xml:space="preserve"> </w:t>
      </w:r>
      <w:r w:rsidRPr="003F01AE">
        <w:rPr>
          <w:rFonts w:asciiTheme="minorHAnsi" w:hAnsiTheme="minorHAnsi"/>
        </w:rPr>
        <w:t>this</w:t>
      </w:r>
      <w:r w:rsidRPr="003F01AE">
        <w:rPr>
          <w:rFonts w:asciiTheme="minorHAnsi" w:hAnsiTheme="minorHAnsi"/>
          <w:spacing w:val="-3"/>
        </w:rPr>
        <w:t xml:space="preserve"> </w:t>
      </w:r>
      <w:r w:rsidRPr="003F01AE">
        <w:rPr>
          <w:rFonts w:asciiTheme="minorHAnsi" w:hAnsiTheme="minorHAnsi"/>
        </w:rPr>
        <w:t>policy</w:t>
      </w:r>
      <w:r w:rsidRPr="003F01AE">
        <w:rPr>
          <w:rFonts w:asciiTheme="minorHAnsi" w:hAnsiTheme="minorHAnsi"/>
          <w:spacing w:val="-2"/>
        </w:rPr>
        <w:t xml:space="preserve"> </w:t>
      </w:r>
      <w:r w:rsidRPr="003F01AE">
        <w:rPr>
          <w:rFonts w:asciiTheme="minorHAnsi" w:hAnsiTheme="minorHAnsi"/>
        </w:rPr>
        <w:t>to</w:t>
      </w:r>
      <w:r w:rsidRPr="003F01AE">
        <w:rPr>
          <w:rFonts w:asciiTheme="minorHAnsi" w:hAnsiTheme="minorHAnsi"/>
          <w:spacing w:val="-3"/>
        </w:rPr>
        <w:t xml:space="preserve"> </w:t>
      </w:r>
      <w:r w:rsidRPr="003F01AE">
        <w:rPr>
          <w:rFonts w:asciiTheme="minorHAnsi" w:hAnsiTheme="minorHAnsi"/>
        </w:rPr>
        <w:t>assess</w:t>
      </w:r>
      <w:r w:rsidRPr="003F01AE">
        <w:rPr>
          <w:rFonts w:asciiTheme="minorHAnsi" w:hAnsiTheme="minorHAnsi"/>
          <w:spacing w:val="-3"/>
        </w:rPr>
        <w:t xml:space="preserve"> </w:t>
      </w:r>
      <w:r w:rsidRPr="003F01AE">
        <w:rPr>
          <w:rFonts w:asciiTheme="minorHAnsi" w:hAnsiTheme="minorHAnsi"/>
        </w:rPr>
        <w:t>our</w:t>
      </w:r>
      <w:r w:rsidRPr="003F01AE">
        <w:rPr>
          <w:rFonts w:asciiTheme="minorHAnsi" w:hAnsiTheme="minorHAnsi"/>
          <w:spacing w:val="-3"/>
        </w:rPr>
        <w:t xml:space="preserve"> </w:t>
      </w:r>
      <w:r w:rsidRPr="003F01AE">
        <w:rPr>
          <w:rFonts w:asciiTheme="minorHAnsi" w:hAnsiTheme="minorHAnsi"/>
        </w:rPr>
        <w:t>capacity</w:t>
      </w:r>
      <w:r w:rsidRPr="003F01AE">
        <w:rPr>
          <w:rFonts w:asciiTheme="minorHAnsi" w:hAnsiTheme="minorHAnsi"/>
          <w:spacing w:val="-2"/>
        </w:rPr>
        <w:t xml:space="preserve"> </w:t>
      </w:r>
      <w:r w:rsidRPr="003F01AE">
        <w:rPr>
          <w:rFonts w:asciiTheme="minorHAnsi" w:hAnsiTheme="minorHAnsi"/>
        </w:rPr>
        <w:t>and</w:t>
      </w:r>
      <w:r w:rsidRPr="003F01AE">
        <w:rPr>
          <w:rFonts w:asciiTheme="minorHAnsi" w:hAnsiTheme="minorHAnsi"/>
          <w:spacing w:val="-3"/>
        </w:rPr>
        <w:t xml:space="preserve"> </w:t>
      </w:r>
      <w:r w:rsidRPr="003F01AE">
        <w:rPr>
          <w:rFonts w:asciiTheme="minorHAnsi" w:hAnsiTheme="minorHAnsi"/>
        </w:rPr>
        <w:t>evaluate</w:t>
      </w:r>
      <w:r w:rsidRPr="003F01AE">
        <w:rPr>
          <w:rFonts w:asciiTheme="minorHAnsi" w:hAnsiTheme="minorHAnsi"/>
          <w:spacing w:val="-3"/>
        </w:rPr>
        <w:t xml:space="preserve"> </w:t>
      </w:r>
      <w:r w:rsidRPr="003F01AE">
        <w:rPr>
          <w:rFonts w:asciiTheme="minorHAnsi" w:hAnsiTheme="minorHAnsi"/>
        </w:rPr>
        <w:t>the</w:t>
      </w:r>
      <w:r w:rsidRPr="003F01AE">
        <w:rPr>
          <w:rFonts w:asciiTheme="minorHAnsi" w:hAnsiTheme="minorHAnsi"/>
          <w:spacing w:val="-3"/>
        </w:rPr>
        <w:t xml:space="preserve"> </w:t>
      </w:r>
      <w:r w:rsidRPr="003F01AE">
        <w:rPr>
          <w:rFonts w:asciiTheme="minorHAnsi" w:hAnsiTheme="minorHAnsi"/>
        </w:rPr>
        <w:t>changing</w:t>
      </w:r>
      <w:r w:rsidRPr="003F01AE">
        <w:rPr>
          <w:rFonts w:asciiTheme="minorHAnsi" w:hAnsiTheme="minorHAnsi"/>
          <w:spacing w:val="-3"/>
        </w:rPr>
        <w:t xml:space="preserve"> </w:t>
      </w:r>
      <w:r w:rsidRPr="003F01AE">
        <w:rPr>
          <w:rFonts w:asciiTheme="minorHAnsi" w:hAnsiTheme="minorHAnsi"/>
        </w:rPr>
        <w:t>needs</w:t>
      </w:r>
      <w:r w:rsidRPr="003F01AE">
        <w:rPr>
          <w:rFonts w:asciiTheme="minorHAnsi" w:hAnsiTheme="minorHAnsi"/>
          <w:spacing w:val="-3"/>
        </w:rPr>
        <w:t xml:space="preserve"> </w:t>
      </w:r>
      <w:r w:rsidRPr="003F01AE">
        <w:rPr>
          <w:rFonts w:asciiTheme="minorHAnsi" w:hAnsiTheme="minorHAnsi"/>
        </w:rPr>
        <w:t>and demands of learners.</w:t>
      </w:r>
    </w:p>
    <w:p w14:paraId="4F31A089" w14:textId="77777777" w:rsidR="003F01AE" w:rsidRPr="003F01AE" w:rsidRDefault="003F01AE" w:rsidP="003F01AE">
      <w:pPr>
        <w:pStyle w:val="BodyText"/>
        <w:spacing w:before="15"/>
        <w:jc w:val="both"/>
        <w:rPr>
          <w:rFonts w:asciiTheme="minorHAnsi" w:hAnsiTheme="minorHAnsi"/>
        </w:rPr>
      </w:pPr>
    </w:p>
    <w:p w14:paraId="3DE87D44" w14:textId="77777777" w:rsidR="003F01AE" w:rsidRPr="003F01AE" w:rsidRDefault="003F01AE" w:rsidP="003F01AE">
      <w:pPr>
        <w:pStyle w:val="BodyText"/>
        <w:jc w:val="both"/>
        <w:rPr>
          <w:rFonts w:asciiTheme="minorHAnsi" w:hAnsiTheme="minorHAnsi"/>
        </w:rPr>
      </w:pPr>
      <w:r w:rsidRPr="003F01AE">
        <w:rPr>
          <w:rFonts w:asciiTheme="minorHAnsi" w:hAnsiTheme="minorHAnsi"/>
        </w:rPr>
        <w:t>We welcome feedback and input from all stakeholders, including Welsh-medium and bilingual centres that we work with, as we strive to continuously improve our qualification offer.</w:t>
      </w:r>
    </w:p>
    <w:p w14:paraId="626FF0FD" w14:textId="77777777" w:rsidR="00933CDC" w:rsidRPr="003F01AE" w:rsidRDefault="00933CDC" w:rsidP="002324FA">
      <w:pPr>
        <w:pStyle w:val="Default"/>
        <w:jc w:val="both"/>
        <w:rPr>
          <w:rFonts w:asciiTheme="minorHAnsi" w:hAnsiTheme="minorHAnsi"/>
          <w:sz w:val="22"/>
          <w:szCs w:val="22"/>
        </w:rPr>
      </w:pPr>
    </w:p>
    <w:p w14:paraId="7548F3D9" w14:textId="0F837B9F" w:rsidR="00BD560A" w:rsidRPr="00C2396E" w:rsidRDefault="00F17412" w:rsidP="003F01AE">
      <w:pPr>
        <w:pStyle w:val="Default"/>
        <w:numPr>
          <w:ilvl w:val="0"/>
          <w:numId w:val="14"/>
        </w:numPr>
        <w:jc w:val="both"/>
        <w:rPr>
          <w:rFonts w:asciiTheme="minorHAnsi" w:hAnsiTheme="minorHAnsi"/>
          <w:b/>
          <w:bCs/>
          <w:sz w:val="32"/>
          <w:szCs w:val="32"/>
        </w:rPr>
      </w:pPr>
      <w:r w:rsidRPr="00C2396E">
        <w:rPr>
          <w:rFonts w:asciiTheme="minorHAnsi" w:hAnsiTheme="minorHAnsi"/>
          <w:b/>
          <w:bCs/>
          <w:sz w:val="32"/>
          <w:szCs w:val="32"/>
        </w:rPr>
        <w:t>Regulatory reference</w:t>
      </w:r>
    </w:p>
    <w:p w14:paraId="75B2E3B8" w14:textId="3AFDC7F3" w:rsidR="00F17412" w:rsidRPr="00C2396E" w:rsidRDefault="00F17412" w:rsidP="00F17412">
      <w:pPr>
        <w:spacing w:after="0" w:line="240" w:lineRule="auto"/>
        <w:jc w:val="both"/>
        <w:rPr>
          <w:rFonts w:eastAsia="Times New Roman" w:cs="Times New Roman"/>
          <w:color w:val="000000"/>
          <w:lang w:eastAsia="en-GB"/>
        </w:rPr>
      </w:pPr>
      <w:r w:rsidRPr="00C2396E">
        <w:rPr>
          <w:rFonts w:eastAsia="Times New Roman" w:cs="Times New Roman"/>
          <w:color w:val="000000"/>
          <w:lang w:eastAsia="en-GB"/>
        </w:rPr>
        <w:t>UK regulators require all awarding organisations to establish and maintain their compliance with regulatory conditions and criteria. As part of this process, policies and guides that relate to GQA’s status as an awarding organisation will reference any conditions and criteria that they address.</w:t>
      </w:r>
    </w:p>
    <w:p w14:paraId="3A48C635" w14:textId="77777777" w:rsidR="00863C2A" w:rsidRPr="00C2396E" w:rsidRDefault="00863C2A" w:rsidP="002324FA">
      <w:pPr>
        <w:spacing w:after="0"/>
        <w:jc w:val="both"/>
      </w:pPr>
    </w:p>
    <w:tbl>
      <w:tblPr>
        <w:tblStyle w:val="PlainTable2"/>
        <w:tblW w:w="9776" w:type="dxa"/>
        <w:tblLayout w:type="fixed"/>
        <w:tblLook w:val="04A0" w:firstRow="1" w:lastRow="0" w:firstColumn="1" w:lastColumn="0" w:noHBand="0" w:noVBand="1"/>
      </w:tblPr>
      <w:tblGrid>
        <w:gridCol w:w="1980"/>
        <w:gridCol w:w="3685"/>
        <w:gridCol w:w="4111"/>
      </w:tblGrid>
      <w:tr w:rsidR="00863C2A" w:rsidRPr="00C2396E" w14:paraId="3D0661EB" w14:textId="77777777" w:rsidTr="00F17412">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right w:val="single" w:sz="4" w:space="0" w:color="auto"/>
            </w:tcBorders>
            <w:shd w:val="clear" w:color="auto" w:fill="D9D9D9" w:themeFill="background1" w:themeFillShade="D9"/>
          </w:tcPr>
          <w:p w14:paraId="14E8A4B7" w14:textId="77777777" w:rsidR="00863C2A" w:rsidRPr="00C2396E" w:rsidRDefault="00863C2A" w:rsidP="002324FA">
            <w:pPr>
              <w:pStyle w:val="AATbodytext"/>
              <w:jc w:val="both"/>
              <w:rPr>
                <w:sz w:val="22"/>
              </w:rPr>
            </w:pPr>
            <w:r w:rsidRPr="00C2396E">
              <w:rPr>
                <w:sz w:val="22"/>
              </w:rPr>
              <w:t xml:space="preserve">Regulator </w:t>
            </w:r>
          </w:p>
        </w:tc>
        <w:tc>
          <w:tcPr>
            <w:tcW w:w="3685" w:type="dxa"/>
            <w:tcBorders>
              <w:top w:val="single" w:sz="4" w:space="0" w:color="auto"/>
              <w:left w:val="single" w:sz="4" w:space="0" w:color="auto"/>
              <w:right w:val="single" w:sz="4" w:space="0" w:color="auto"/>
            </w:tcBorders>
            <w:shd w:val="clear" w:color="auto" w:fill="D9D9D9" w:themeFill="background1" w:themeFillShade="D9"/>
          </w:tcPr>
          <w:p w14:paraId="3C03C291" w14:textId="77777777" w:rsidR="00863C2A" w:rsidRPr="00C2396E" w:rsidRDefault="00863C2A" w:rsidP="002324FA">
            <w:pPr>
              <w:pStyle w:val="AATbodytext"/>
              <w:jc w:val="both"/>
              <w:cnfStyle w:val="100000000000" w:firstRow="1" w:lastRow="0" w:firstColumn="0" w:lastColumn="0" w:oddVBand="0" w:evenVBand="0" w:oddHBand="0" w:evenHBand="0" w:firstRowFirstColumn="0" w:firstRowLastColumn="0" w:lastRowFirstColumn="0" w:lastRowLastColumn="0"/>
              <w:rPr>
                <w:sz w:val="22"/>
              </w:rPr>
            </w:pPr>
            <w:r w:rsidRPr="00C2396E">
              <w:rPr>
                <w:sz w:val="22"/>
              </w:rPr>
              <w:t>Regulatory or guidance source</w:t>
            </w:r>
          </w:p>
        </w:tc>
        <w:tc>
          <w:tcPr>
            <w:tcW w:w="4111" w:type="dxa"/>
            <w:tcBorders>
              <w:top w:val="single" w:sz="4" w:space="0" w:color="auto"/>
              <w:left w:val="single" w:sz="4" w:space="0" w:color="auto"/>
              <w:right w:val="single" w:sz="4" w:space="0" w:color="auto"/>
            </w:tcBorders>
            <w:shd w:val="clear" w:color="auto" w:fill="D9D9D9" w:themeFill="background1" w:themeFillShade="D9"/>
          </w:tcPr>
          <w:p w14:paraId="774C1674" w14:textId="77777777" w:rsidR="00863C2A" w:rsidRPr="00C2396E" w:rsidRDefault="00863C2A" w:rsidP="002324FA">
            <w:pPr>
              <w:pStyle w:val="AATbodytext"/>
              <w:jc w:val="both"/>
              <w:cnfStyle w:val="100000000000" w:firstRow="1" w:lastRow="0" w:firstColumn="0" w:lastColumn="0" w:oddVBand="0" w:evenVBand="0" w:oddHBand="0" w:evenHBand="0" w:firstRowFirstColumn="0" w:firstRowLastColumn="0" w:lastRowFirstColumn="0" w:lastRowLastColumn="0"/>
              <w:rPr>
                <w:sz w:val="22"/>
              </w:rPr>
            </w:pPr>
            <w:r w:rsidRPr="00C2396E">
              <w:rPr>
                <w:sz w:val="22"/>
              </w:rPr>
              <w:t>Regulatory condition, criteria or principle</w:t>
            </w:r>
          </w:p>
        </w:tc>
      </w:tr>
      <w:tr w:rsidR="00863C2A" w:rsidRPr="00C2396E" w14:paraId="057E094B" w14:textId="77777777" w:rsidTr="00F1741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38E73EED" w14:textId="32FD707E" w:rsidR="00863C2A" w:rsidRPr="00C2396E" w:rsidRDefault="00F17412" w:rsidP="002324FA">
            <w:pPr>
              <w:pStyle w:val="AATbodytext"/>
              <w:jc w:val="both"/>
              <w:rPr>
                <w:sz w:val="22"/>
              </w:rPr>
            </w:pPr>
            <w:r w:rsidRPr="00C2396E">
              <w:rPr>
                <w:sz w:val="22"/>
              </w:rPr>
              <w:t>QUALIFICATION WALES</w:t>
            </w:r>
          </w:p>
        </w:tc>
        <w:tc>
          <w:tcPr>
            <w:tcW w:w="3685" w:type="dxa"/>
            <w:tcBorders>
              <w:left w:val="single" w:sz="4" w:space="0" w:color="auto"/>
              <w:right w:val="single" w:sz="4" w:space="0" w:color="auto"/>
            </w:tcBorders>
          </w:tcPr>
          <w:p w14:paraId="1A65D9AD" w14:textId="4ED220CF" w:rsidR="00863C2A" w:rsidRPr="00C2396E" w:rsidRDefault="00F17412" w:rsidP="00F17412">
            <w:pPr>
              <w:pStyle w:val="AATbodytext"/>
              <w:cnfStyle w:val="000000100000" w:firstRow="0" w:lastRow="0" w:firstColumn="0" w:lastColumn="0" w:oddVBand="0" w:evenVBand="0" w:oddHBand="1" w:evenHBand="0" w:firstRowFirstColumn="0" w:firstRowLastColumn="0" w:lastRowFirstColumn="0" w:lastRowLastColumn="0"/>
              <w:rPr>
                <w:sz w:val="22"/>
              </w:rPr>
            </w:pPr>
            <w:r w:rsidRPr="00C2396E">
              <w:rPr>
                <w:sz w:val="22"/>
              </w:rPr>
              <w:t xml:space="preserve">Qualifications Wales: </w:t>
            </w:r>
            <w:r w:rsidR="00863C2A" w:rsidRPr="00C2396E">
              <w:rPr>
                <w:sz w:val="22"/>
              </w:rPr>
              <w:t>General Conditions of Recognition</w:t>
            </w:r>
          </w:p>
        </w:tc>
        <w:tc>
          <w:tcPr>
            <w:tcW w:w="4111" w:type="dxa"/>
            <w:tcBorders>
              <w:left w:val="single" w:sz="4" w:space="0" w:color="auto"/>
              <w:right w:val="single" w:sz="4" w:space="0" w:color="auto"/>
            </w:tcBorders>
          </w:tcPr>
          <w:p w14:paraId="505C7194" w14:textId="3F250EC7" w:rsidR="00863C2A" w:rsidRPr="00C2396E" w:rsidRDefault="00F17412" w:rsidP="002324FA">
            <w:pPr>
              <w:pStyle w:val="AATbodytext"/>
              <w:jc w:val="both"/>
              <w:cnfStyle w:val="000000100000" w:firstRow="0" w:lastRow="0" w:firstColumn="0" w:lastColumn="0" w:oddVBand="0" w:evenVBand="0" w:oddHBand="1" w:evenHBand="0" w:firstRowFirstColumn="0" w:firstRowLastColumn="0" w:lastRowFirstColumn="0" w:lastRowLastColumn="0"/>
              <w:rPr>
                <w:sz w:val="22"/>
              </w:rPr>
            </w:pPr>
            <w:r w:rsidRPr="00C2396E">
              <w:rPr>
                <w:sz w:val="22"/>
              </w:rPr>
              <w:t>D9</w:t>
            </w:r>
          </w:p>
        </w:tc>
      </w:tr>
    </w:tbl>
    <w:p w14:paraId="4393DCAC" w14:textId="77777777" w:rsidR="00863C2A" w:rsidRPr="00C2396E" w:rsidRDefault="00863C2A" w:rsidP="002324FA">
      <w:pPr>
        <w:pStyle w:val="Default"/>
        <w:jc w:val="both"/>
        <w:rPr>
          <w:rFonts w:asciiTheme="minorHAnsi" w:hAnsiTheme="minorHAnsi"/>
          <w:b/>
          <w:bCs/>
          <w:sz w:val="32"/>
          <w:szCs w:val="32"/>
        </w:rPr>
      </w:pPr>
    </w:p>
    <w:p w14:paraId="2DF90183" w14:textId="77777777" w:rsidR="00F17412" w:rsidRPr="00C2396E" w:rsidRDefault="00F17412" w:rsidP="002324FA">
      <w:pPr>
        <w:pStyle w:val="Default"/>
        <w:jc w:val="both"/>
        <w:rPr>
          <w:rFonts w:asciiTheme="minorHAnsi" w:hAnsiTheme="minorHAnsi"/>
          <w:b/>
          <w:bCs/>
          <w:sz w:val="32"/>
          <w:szCs w:val="32"/>
        </w:rPr>
      </w:pPr>
    </w:p>
    <w:p w14:paraId="4C721D9C" w14:textId="2496A743" w:rsidR="0030513C" w:rsidRPr="00C2396E" w:rsidRDefault="006201ED" w:rsidP="003F01AE">
      <w:pPr>
        <w:pStyle w:val="Default"/>
        <w:numPr>
          <w:ilvl w:val="0"/>
          <w:numId w:val="14"/>
        </w:numPr>
        <w:jc w:val="both"/>
        <w:rPr>
          <w:rFonts w:asciiTheme="minorHAnsi" w:hAnsiTheme="minorHAnsi"/>
          <w:b/>
          <w:bCs/>
          <w:sz w:val="32"/>
          <w:szCs w:val="32"/>
        </w:rPr>
      </w:pPr>
      <w:r w:rsidRPr="00C2396E">
        <w:rPr>
          <w:rFonts w:asciiTheme="minorHAnsi" w:hAnsiTheme="minorHAnsi"/>
          <w:b/>
          <w:bCs/>
          <w:sz w:val="32"/>
          <w:szCs w:val="32"/>
        </w:rPr>
        <w:t xml:space="preserve">Policy </w:t>
      </w:r>
      <w:r w:rsidR="00DC6F6B" w:rsidRPr="00C2396E">
        <w:rPr>
          <w:rFonts w:asciiTheme="minorHAnsi" w:hAnsiTheme="minorHAnsi"/>
          <w:b/>
          <w:bCs/>
          <w:sz w:val="32"/>
          <w:szCs w:val="32"/>
        </w:rPr>
        <w:t>r</w:t>
      </w:r>
      <w:r w:rsidRPr="00C2396E">
        <w:rPr>
          <w:rFonts w:asciiTheme="minorHAnsi" w:hAnsiTheme="minorHAnsi"/>
          <w:b/>
          <w:bCs/>
          <w:sz w:val="32"/>
          <w:szCs w:val="32"/>
        </w:rPr>
        <w:t xml:space="preserve">eference </w:t>
      </w:r>
      <w:r w:rsidR="00DC6F6B" w:rsidRPr="00C2396E">
        <w:rPr>
          <w:rFonts w:asciiTheme="minorHAnsi" w:hAnsiTheme="minorHAnsi"/>
          <w:b/>
          <w:bCs/>
          <w:sz w:val="32"/>
          <w:szCs w:val="32"/>
        </w:rPr>
        <w:t>i</w:t>
      </w:r>
      <w:r w:rsidRPr="00C2396E">
        <w:rPr>
          <w:rFonts w:asciiTheme="minorHAnsi" w:hAnsiTheme="minorHAnsi"/>
          <w:b/>
          <w:bCs/>
          <w:sz w:val="32"/>
          <w:szCs w:val="32"/>
        </w:rPr>
        <w:t>nformation</w:t>
      </w:r>
    </w:p>
    <w:p w14:paraId="52794C35" w14:textId="77777777" w:rsidR="0030513C" w:rsidRPr="00C2396E" w:rsidRDefault="0030513C" w:rsidP="002324FA">
      <w:pPr>
        <w:spacing w:after="0"/>
        <w:jc w:val="both"/>
        <w:rPr>
          <w:sz w:val="24"/>
          <w:szCs w:val="24"/>
        </w:rPr>
      </w:pPr>
    </w:p>
    <w:tbl>
      <w:tblPr>
        <w:tblStyle w:val="TableGrid"/>
        <w:tblW w:w="963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6804"/>
      </w:tblGrid>
      <w:tr w:rsidR="006201ED" w:rsidRPr="00C2396E" w14:paraId="65F47E9C" w14:textId="77777777" w:rsidTr="006201ED">
        <w:trPr>
          <w:trHeight w:val="346"/>
        </w:trPr>
        <w:tc>
          <w:tcPr>
            <w:tcW w:w="2835" w:type="dxa"/>
            <w:tcBorders>
              <w:top w:val="single" w:sz="18" w:space="0" w:color="156082" w:themeColor="accent1"/>
              <w:bottom w:val="single" w:sz="4" w:space="0" w:color="auto"/>
              <w:right w:val="nil"/>
            </w:tcBorders>
          </w:tcPr>
          <w:bookmarkEnd w:id="1"/>
          <w:p w14:paraId="3E512AC3" w14:textId="794C8EB6" w:rsidR="006201ED" w:rsidRPr="00C2396E" w:rsidRDefault="006201ED" w:rsidP="002324FA">
            <w:pPr>
              <w:pStyle w:val="AATbodytext"/>
              <w:jc w:val="both"/>
              <w:rPr>
                <w:b/>
                <w:bCs/>
                <w:sz w:val="22"/>
              </w:rPr>
            </w:pPr>
            <w:r w:rsidRPr="00C2396E">
              <w:rPr>
                <w:b/>
                <w:bCs/>
                <w:sz w:val="22"/>
              </w:rPr>
              <w:t>Policy Reference No:</w:t>
            </w:r>
          </w:p>
        </w:tc>
        <w:tc>
          <w:tcPr>
            <w:tcW w:w="6804" w:type="dxa"/>
            <w:tcBorders>
              <w:top w:val="single" w:sz="18" w:space="0" w:color="156082" w:themeColor="accent1"/>
              <w:left w:val="nil"/>
              <w:bottom w:val="single" w:sz="4" w:space="0" w:color="auto"/>
              <w:right w:val="nil"/>
            </w:tcBorders>
            <w:vAlign w:val="center"/>
          </w:tcPr>
          <w:p w14:paraId="4AE24817" w14:textId="03675A39" w:rsidR="006201ED" w:rsidRPr="00C2396E" w:rsidRDefault="00637860" w:rsidP="002324FA">
            <w:pPr>
              <w:pStyle w:val="AATbodytext"/>
              <w:jc w:val="both"/>
              <w:rPr>
                <w:sz w:val="22"/>
              </w:rPr>
            </w:pPr>
            <w:r w:rsidRPr="00C2396E">
              <w:rPr>
                <w:sz w:val="22"/>
              </w:rPr>
              <w:t>AOP-</w:t>
            </w:r>
            <w:r w:rsidR="00F17412" w:rsidRPr="00C2396E">
              <w:rPr>
                <w:sz w:val="22"/>
              </w:rPr>
              <w:t>025</w:t>
            </w:r>
          </w:p>
        </w:tc>
      </w:tr>
      <w:tr w:rsidR="006201ED" w:rsidRPr="00C2396E" w14:paraId="36601CC3" w14:textId="77777777" w:rsidTr="006201ED">
        <w:trPr>
          <w:trHeight w:val="346"/>
        </w:trPr>
        <w:tc>
          <w:tcPr>
            <w:tcW w:w="2835" w:type="dxa"/>
            <w:tcBorders>
              <w:top w:val="single" w:sz="4" w:space="0" w:color="auto"/>
              <w:bottom w:val="single" w:sz="4" w:space="0" w:color="auto"/>
              <w:right w:val="nil"/>
            </w:tcBorders>
          </w:tcPr>
          <w:p w14:paraId="6FAA01DB" w14:textId="77777777" w:rsidR="006201ED" w:rsidRPr="00C2396E" w:rsidRDefault="006201ED" w:rsidP="002324FA">
            <w:pPr>
              <w:pStyle w:val="AATbodytext"/>
              <w:jc w:val="both"/>
              <w:rPr>
                <w:b/>
                <w:bCs/>
                <w:sz w:val="22"/>
              </w:rPr>
            </w:pPr>
            <w:r w:rsidRPr="00C2396E">
              <w:rPr>
                <w:b/>
                <w:bCs/>
                <w:sz w:val="22"/>
              </w:rPr>
              <w:t>Owner/author</w:t>
            </w:r>
          </w:p>
        </w:tc>
        <w:tc>
          <w:tcPr>
            <w:tcW w:w="6804" w:type="dxa"/>
            <w:tcBorders>
              <w:top w:val="single" w:sz="4" w:space="0" w:color="auto"/>
              <w:left w:val="nil"/>
              <w:bottom w:val="single" w:sz="4" w:space="0" w:color="auto"/>
              <w:right w:val="nil"/>
            </w:tcBorders>
            <w:vAlign w:val="center"/>
          </w:tcPr>
          <w:p w14:paraId="681630EF" w14:textId="38FDD7B7" w:rsidR="006201ED" w:rsidRPr="00C2396E" w:rsidRDefault="006201ED" w:rsidP="002324FA">
            <w:pPr>
              <w:pStyle w:val="AATbodytext"/>
              <w:jc w:val="both"/>
              <w:rPr>
                <w:sz w:val="22"/>
              </w:rPr>
            </w:pPr>
            <w:r w:rsidRPr="00C2396E">
              <w:rPr>
                <w:sz w:val="22"/>
              </w:rPr>
              <w:t>Responsible Officer</w:t>
            </w:r>
          </w:p>
        </w:tc>
      </w:tr>
      <w:tr w:rsidR="006201ED" w:rsidRPr="00C2396E" w14:paraId="5976C72C" w14:textId="77777777" w:rsidTr="006201ED">
        <w:trPr>
          <w:trHeight w:val="346"/>
        </w:trPr>
        <w:tc>
          <w:tcPr>
            <w:tcW w:w="2835" w:type="dxa"/>
            <w:tcBorders>
              <w:top w:val="single" w:sz="4" w:space="0" w:color="auto"/>
              <w:bottom w:val="single" w:sz="4" w:space="0" w:color="auto"/>
              <w:right w:val="nil"/>
            </w:tcBorders>
          </w:tcPr>
          <w:p w14:paraId="035C07D3" w14:textId="77777777" w:rsidR="006201ED" w:rsidRPr="00C2396E" w:rsidRDefault="006201ED" w:rsidP="002324FA">
            <w:pPr>
              <w:pStyle w:val="AATbodytext"/>
              <w:jc w:val="both"/>
              <w:rPr>
                <w:b/>
                <w:bCs/>
                <w:sz w:val="22"/>
              </w:rPr>
            </w:pPr>
            <w:r w:rsidRPr="00C2396E">
              <w:rPr>
                <w:b/>
                <w:bCs/>
                <w:sz w:val="22"/>
              </w:rPr>
              <w:t>Date of issue</w:t>
            </w:r>
          </w:p>
        </w:tc>
        <w:tc>
          <w:tcPr>
            <w:tcW w:w="6804" w:type="dxa"/>
            <w:tcBorders>
              <w:top w:val="single" w:sz="4" w:space="0" w:color="auto"/>
              <w:left w:val="nil"/>
              <w:bottom w:val="single" w:sz="4" w:space="0" w:color="auto"/>
              <w:right w:val="nil"/>
            </w:tcBorders>
            <w:vAlign w:val="center"/>
          </w:tcPr>
          <w:p w14:paraId="7CA4CDC4" w14:textId="1AE458E7" w:rsidR="006201ED" w:rsidRPr="00C2396E" w:rsidRDefault="00C2396E" w:rsidP="002324FA">
            <w:pPr>
              <w:pStyle w:val="AATbodytext"/>
              <w:jc w:val="both"/>
              <w:rPr>
                <w:sz w:val="22"/>
              </w:rPr>
            </w:pPr>
            <w:r>
              <w:rPr>
                <w:sz w:val="22"/>
              </w:rPr>
              <w:t>Sept 2025</w:t>
            </w:r>
          </w:p>
        </w:tc>
      </w:tr>
      <w:tr w:rsidR="006201ED" w:rsidRPr="00C2396E" w14:paraId="23FF10E3" w14:textId="77777777" w:rsidTr="006201ED">
        <w:trPr>
          <w:trHeight w:val="346"/>
        </w:trPr>
        <w:tc>
          <w:tcPr>
            <w:tcW w:w="2835" w:type="dxa"/>
            <w:tcBorders>
              <w:top w:val="single" w:sz="4" w:space="0" w:color="auto"/>
              <w:bottom w:val="single" w:sz="4" w:space="0" w:color="auto"/>
              <w:right w:val="nil"/>
            </w:tcBorders>
          </w:tcPr>
          <w:p w14:paraId="3CC3BD46" w14:textId="77777777" w:rsidR="006201ED" w:rsidRPr="00C2396E" w:rsidRDefault="006201ED" w:rsidP="002324FA">
            <w:pPr>
              <w:pStyle w:val="AATbodytext"/>
              <w:jc w:val="both"/>
              <w:rPr>
                <w:b/>
                <w:bCs/>
                <w:sz w:val="22"/>
              </w:rPr>
            </w:pPr>
            <w:r w:rsidRPr="00C2396E">
              <w:rPr>
                <w:b/>
                <w:bCs/>
                <w:sz w:val="22"/>
              </w:rPr>
              <w:t>Review date</w:t>
            </w:r>
          </w:p>
        </w:tc>
        <w:tc>
          <w:tcPr>
            <w:tcW w:w="6804" w:type="dxa"/>
            <w:tcBorders>
              <w:top w:val="single" w:sz="4" w:space="0" w:color="auto"/>
              <w:left w:val="nil"/>
              <w:bottom w:val="single" w:sz="4" w:space="0" w:color="auto"/>
              <w:right w:val="nil"/>
            </w:tcBorders>
            <w:vAlign w:val="center"/>
          </w:tcPr>
          <w:p w14:paraId="3C40FB8C" w14:textId="6F1D6FF7" w:rsidR="006201ED" w:rsidRPr="00C2396E" w:rsidRDefault="00C2396E" w:rsidP="002324FA">
            <w:pPr>
              <w:pStyle w:val="AATbodytext"/>
              <w:jc w:val="both"/>
              <w:rPr>
                <w:sz w:val="22"/>
              </w:rPr>
            </w:pPr>
            <w:r>
              <w:rPr>
                <w:sz w:val="22"/>
              </w:rPr>
              <w:t>Sept 2026</w:t>
            </w:r>
          </w:p>
        </w:tc>
      </w:tr>
      <w:tr w:rsidR="006201ED" w:rsidRPr="00C2396E" w14:paraId="1101CFC9" w14:textId="77777777" w:rsidTr="006201ED">
        <w:trPr>
          <w:trHeight w:val="346"/>
        </w:trPr>
        <w:tc>
          <w:tcPr>
            <w:tcW w:w="2835" w:type="dxa"/>
            <w:tcBorders>
              <w:top w:val="single" w:sz="4" w:space="0" w:color="auto"/>
              <w:bottom w:val="single" w:sz="4" w:space="0" w:color="auto"/>
              <w:right w:val="nil"/>
            </w:tcBorders>
          </w:tcPr>
          <w:p w14:paraId="447769C7" w14:textId="77777777" w:rsidR="006201ED" w:rsidRPr="00C2396E" w:rsidRDefault="006201ED" w:rsidP="002324FA">
            <w:pPr>
              <w:pStyle w:val="AATbodytext"/>
              <w:jc w:val="both"/>
              <w:rPr>
                <w:b/>
                <w:bCs/>
                <w:sz w:val="22"/>
              </w:rPr>
            </w:pPr>
            <w:r w:rsidRPr="00C2396E">
              <w:rPr>
                <w:b/>
                <w:bCs/>
                <w:sz w:val="22"/>
              </w:rPr>
              <w:t>Format for circulation</w:t>
            </w:r>
          </w:p>
        </w:tc>
        <w:tc>
          <w:tcPr>
            <w:tcW w:w="6804" w:type="dxa"/>
            <w:tcBorders>
              <w:top w:val="single" w:sz="4" w:space="0" w:color="auto"/>
              <w:left w:val="nil"/>
              <w:bottom w:val="single" w:sz="4" w:space="0" w:color="auto"/>
              <w:right w:val="nil"/>
            </w:tcBorders>
            <w:vAlign w:val="center"/>
          </w:tcPr>
          <w:p w14:paraId="3421D554" w14:textId="77777777" w:rsidR="006201ED" w:rsidRPr="00C2396E" w:rsidRDefault="006201ED" w:rsidP="002324FA">
            <w:pPr>
              <w:pStyle w:val="AATbodytext"/>
              <w:jc w:val="both"/>
              <w:rPr>
                <w:sz w:val="22"/>
              </w:rPr>
            </w:pPr>
            <w:r w:rsidRPr="00C2396E">
              <w:rPr>
                <w:sz w:val="22"/>
              </w:rPr>
              <w:t>PDF</w:t>
            </w:r>
          </w:p>
        </w:tc>
      </w:tr>
    </w:tbl>
    <w:p w14:paraId="6D2719BE" w14:textId="3CD788AC" w:rsidR="007E2872" w:rsidRPr="00C2396E" w:rsidRDefault="007E2872" w:rsidP="002324FA">
      <w:pPr>
        <w:spacing w:after="160" w:line="278" w:lineRule="auto"/>
        <w:jc w:val="both"/>
      </w:pPr>
    </w:p>
    <w:sectPr w:rsidR="007E2872" w:rsidRPr="00C2396E" w:rsidSect="00450AFC">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FF8C" w14:textId="77777777" w:rsidR="00297F0E" w:rsidRDefault="00297F0E" w:rsidP="00C834EC">
      <w:pPr>
        <w:spacing w:after="0" w:line="240" w:lineRule="auto"/>
      </w:pPr>
      <w:r>
        <w:separator/>
      </w:r>
    </w:p>
  </w:endnote>
  <w:endnote w:type="continuationSeparator" w:id="0">
    <w:p w14:paraId="6D602206" w14:textId="77777777" w:rsidR="00297F0E" w:rsidRDefault="00297F0E" w:rsidP="00C8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Arial Unicode MS">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26033"/>
      <w:docPartObj>
        <w:docPartGallery w:val="Page Numbers (Bottom of Page)"/>
        <w:docPartUnique/>
      </w:docPartObj>
    </w:sdtPr>
    <w:sdtEndPr>
      <w:rPr>
        <w:rStyle w:val="PageNumber"/>
      </w:rPr>
    </w:sdtEndPr>
    <w:sdtContent>
      <w:p w14:paraId="1421C3F3" w14:textId="7E77E567" w:rsidR="0030513C" w:rsidRDefault="0030513C" w:rsidP="004C0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F3A585" w14:textId="77777777" w:rsidR="0030513C" w:rsidRDefault="0030513C" w:rsidP="00305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99518"/>
      <w:docPartObj>
        <w:docPartGallery w:val="Page Numbers (Bottom of Page)"/>
        <w:docPartUnique/>
      </w:docPartObj>
    </w:sdtPr>
    <w:sdtEndPr/>
    <w:sdtContent>
      <w:sdt>
        <w:sdtPr>
          <w:id w:val="-1769616900"/>
          <w:docPartObj>
            <w:docPartGallery w:val="Page Numbers (Top of Page)"/>
            <w:docPartUnique/>
          </w:docPartObj>
        </w:sdtPr>
        <w:sdtEndPr/>
        <w:sdtContent>
          <w:p w14:paraId="2E16EC9A" w14:textId="57D93C6D" w:rsidR="00BD5F77" w:rsidRPr="000A7D0F" w:rsidRDefault="00BD5F77" w:rsidP="00BD5F77">
            <w:pPr>
              <w:pStyle w:val="Footer"/>
              <w:ind w:right="360"/>
              <w:rPr>
                <w:color w:val="000000" w:themeColor="text1"/>
              </w:rPr>
            </w:pPr>
          </w:p>
          <w:p w14:paraId="29718ACB" w14:textId="0A2D4E9B" w:rsidR="00BD5F77" w:rsidRDefault="00BD5F77" w:rsidP="00BD5F77">
            <w:pPr>
              <w:pStyle w:val="Footer"/>
            </w:pPr>
            <w:r>
              <w:t xml:space="preserve">AOP-025 Welsh Language Policy </w:t>
            </w:r>
            <w:r w:rsidR="003F01AE">
              <w:t xml:space="preserve">Statement </w:t>
            </w:r>
            <w:r>
              <w:t>V</w:t>
            </w:r>
            <w:r w:rsidR="003F01AE">
              <w:t>2</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D01560" w14:textId="2CEDCB18" w:rsidR="0030513C" w:rsidRPr="000A7D0F" w:rsidRDefault="0030513C" w:rsidP="00BD5F77">
    <w:pPr>
      <w:pStyle w:val="Footer"/>
      <w:ind w:right="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5FB0" w14:textId="3B18C2FC" w:rsidR="0038360E" w:rsidRPr="007E25B8" w:rsidRDefault="00F3502D" w:rsidP="00395A54">
    <w:pPr>
      <w:pStyle w:val="Footer"/>
      <w:tabs>
        <w:tab w:val="clear" w:pos="4513"/>
        <w:tab w:val="clear" w:pos="9026"/>
        <w:tab w:val="right" w:pos="10490"/>
      </w:tabs>
      <w:rPr>
        <w:b/>
        <w:bCs/>
      </w:rPr>
    </w:pPr>
    <w:r>
      <w:rPr>
        <w:noProof/>
      </w:rPr>
      <mc:AlternateContent>
        <mc:Choice Requires="wps">
          <w:drawing>
            <wp:anchor distT="0" distB="0" distL="114300" distR="114300" simplePos="0" relativeHeight="251664384" behindDoc="0" locked="1" layoutInCell="1" allowOverlap="1" wp14:anchorId="6F983450" wp14:editId="2F5A6D1D">
              <wp:simplePos x="0" y="0"/>
              <wp:positionH relativeFrom="page">
                <wp:posOffset>431800</wp:posOffset>
              </wp:positionH>
              <wp:positionV relativeFrom="margin">
                <wp:posOffset>9290050</wp:posOffset>
              </wp:positionV>
              <wp:extent cx="671400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6963B" id="Straight Connector 9"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r>
      <w:tab/>
    </w:r>
    <w:r w:rsidRPr="007E25B8">
      <w:rPr>
        <w:b/>
        <w:bCs/>
      </w:rPr>
      <w:fldChar w:fldCharType="begin"/>
    </w:r>
    <w:r w:rsidRPr="007E25B8">
      <w:rPr>
        <w:b/>
        <w:bCs/>
      </w:rPr>
      <w:instrText xml:space="preserve"> PAGE  \* Arabic  \* MERGEFORMAT </w:instrText>
    </w:r>
    <w:r w:rsidRPr="007E25B8">
      <w:rPr>
        <w:b/>
        <w:bCs/>
      </w:rPr>
      <w:fldChar w:fldCharType="separate"/>
    </w:r>
    <w:r>
      <w:rPr>
        <w:b/>
        <w:bCs/>
      </w:rPr>
      <w:t>2</w:t>
    </w:r>
    <w:r w:rsidRPr="007E25B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1785" w14:textId="77777777" w:rsidR="00297F0E" w:rsidRDefault="00297F0E" w:rsidP="00C834EC">
      <w:pPr>
        <w:spacing w:after="0" w:line="240" w:lineRule="auto"/>
      </w:pPr>
      <w:r>
        <w:separator/>
      </w:r>
    </w:p>
  </w:footnote>
  <w:footnote w:type="continuationSeparator" w:id="0">
    <w:p w14:paraId="3FE67792" w14:textId="77777777" w:rsidR="00297F0E" w:rsidRDefault="00297F0E" w:rsidP="00C8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D331" w14:textId="10849090" w:rsidR="00DC4567" w:rsidRDefault="00DC4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EDA8" w14:textId="48AAB11D" w:rsidR="002A022C" w:rsidRDefault="002A022C">
    <w:pPr>
      <w:pStyle w:val="Header"/>
    </w:pPr>
    <w:r>
      <w:rPr>
        <w:noProof/>
      </w:rPr>
      <w:drawing>
        <wp:anchor distT="0" distB="0" distL="114300" distR="114300" simplePos="0" relativeHeight="251666432" behindDoc="0" locked="0" layoutInCell="1" allowOverlap="1" wp14:anchorId="785B9527" wp14:editId="23F596C3">
          <wp:simplePos x="0" y="0"/>
          <wp:positionH relativeFrom="column">
            <wp:posOffset>5546470</wp:posOffset>
          </wp:positionH>
          <wp:positionV relativeFrom="paragraph">
            <wp:posOffset>-380444</wp:posOffset>
          </wp:positionV>
          <wp:extent cx="1104750" cy="806725"/>
          <wp:effectExtent l="0" t="0" r="635" b="0"/>
          <wp:wrapNone/>
          <wp:docPr id="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750" cy="8067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110" w14:textId="6A42675F" w:rsidR="0038360E" w:rsidRDefault="00EC6EA9">
    <w:r>
      <w:rPr>
        <w:noProof/>
      </w:rPr>
      <mc:AlternateContent>
        <mc:Choice Requires="wps">
          <w:drawing>
            <wp:anchor distT="0" distB="0" distL="114300" distR="114300" simplePos="0" relativeHeight="251663360" behindDoc="0" locked="1" layoutInCell="1" allowOverlap="1" wp14:anchorId="4D96CDF0" wp14:editId="55F2CBDE">
              <wp:simplePos x="0" y="0"/>
              <wp:positionH relativeFrom="page">
                <wp:posOffset>431800</wp:posOffset>
              </wp:positionH>
              <wp:positionV relativeFrom="margin">
                <wp:posOffset>-339090</wp:posOffset>
              </wp:positionV>
              <wp:extent cx="6714000" cy="0"/>
              <wp:effectExtent l="0" t="12700" r="4445"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14000" cy="0"/>
                      </a:xfrm>
                      <a:prstGeom prst="line">
                        <a:avLst/>
                      </a:prstGeom>
                      <a:ln w="28575">
                        <a:solidFill>
                          <a:schemeClr val="accent6">
                            <a:lumMod val="7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9C965" id="Straight Connector 7" o:spid="_x0000_s1026" alt="&quot;&quot;"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26.7pt" to="562.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" strokecolor="#3a7c22 [2409]" strokeweight="2.25pt">
              <v:stroke joinstyle="bevel"/>
              <w10:wrap anchorx="page"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FD1"/>
    <w:multiLevelType w:val="hybridMultilevel"/>
    <w:tmpl w:val="6F941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33D8E"/>
    <w:multiLevelType w:val="hybridMultilevel"/>
    <w:tmpl w:val="8B024FDA"/>
    <w:lvl w:ilvl="0" w:tplc="C0C86EE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DD41123"/>
    <w:multiLevelType w:val="hybridMultilevel"/>
    <w:tmpl w:val="B982295A"/>
    <w:lvl w:ilvl="0" w:tplc="26503C1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217761B"/>
    <w:multiLevelType w:val="hybridMultilevel"/>
    <w:tmpl w:val="017407E4"/>
    <w:lvl w:ilvl="0" w:tplc="04AA5250">
      <w:start w:val="1"/>
      <w:numFmt w:val="decimal"/>
      <w:lvlText w:val="%1."/>
      <w:lvlJc w:val="left"/>
      <w:pPr>
        <w:ind w:left="473" w:hanging="360"/>
        <w:jc w:val="left"/>
      </w:pPr>
      <w:rPr>
        <w:rFonts w:ascii="Tahoma" w:eastAsia="Tahoma" w:hAnsi="Tahoma" w:cs="Tahoma" w:hint="default"/>
        <w:b/>
        <w:bCs/>
        <w:i w:val="0"/>
        <w:iCs w:val="0"/>
        <w:w w:val="87"/>
        <w:sz w:val="22"/>
        <w:szCs w:val="22"/>
        <w:lang w:val="en-US" w:eastAsia="en-US" w:bidi="ar-SA"/>
      </w:rPr>
    </w:lvl>
    <w:lvl w:ilvl="1" w:tplc="5C06DC2C">
      <w:numFmt w:val="bullet"/>
      <w:lvlText w:val="•"/>
      <w:lvlJc w:val="left"/>
      <w:pPr>
        <w:ind w:left="1442" w:hanging="360"/>
      </w:pPr>
      <w:rPr>
        <w:rFonts w:hint="default"/>
        <w:lang w:val="en-US" w:eastAsia="en-US" w:bidi="ar-SA"/>
      </w:rPr>
    </w:lvl>
    <w:lvl w:ilvl="2" w:tplc="0756D53C">
      <w:numFmt w:val="bullet"/>
      <w:lvlText w:val="•"/>
      <w:lvlJc w:val="left"/>
      <w:pPr>
        <w:ind w:left="2405" w:hanging="360"/>
      </w:pPr>
      <w:rPr>
        <w:rFonts w:hint="default"/>
        <w:lang w:val="en-US" w:eastAsia="en-US" w:bidi="ar-SA"/>
      </w:rPr>
    </w:lvl>
    <w:lvl w:ilvl="3" w:tplc="E15E850E">
      <w:numFmt w:val="bullet"/>
      <w:lvlText w:val="•"/>
      <w:lvlJc w:val="left"/>
      <w:pPr>
        <w:ind w:left="3367" w:hanging="360"/>
      </w:pPr>
      <w:rPr>
        <w:rFonts w:hint="default"/>
        <w:lang w:val="en-US" w:eastAsia="en-US" w:bidi="ar-SA"/>
      </w:rPr>
    </w:lvl>
    <w:lvl w:ilvl="4" w:tplc="0C682E18">
      <w:numFmt w:val="bullet"/>
      <w:lvlText w:val="•"/>
      <w:lvlJc w:val="left"/>
      <w:pPr>
        <w:ind w:left="4330" w:hanging="360"/>
      </w:pPr>
      <w:rPr>
        <w:rFonts w:hint="default"/>
        <w:lang w:val="en-US" w:eastAsia="en-US" w:bidi="ar-SA"/>
      </w:rPr>
    </w:lvl>
    <w:lvl w:ilvl="5" w:tplc="96EC57FA">
      <w:numFmt w:val="bullet"/>
      <w:lvlText w:val="•"/>
      <w:lvlJc w:val="left"/>
      <w:pPr>
        <w:ind w:left="5293" w:hanging="360"/>
      </w:pPr>
      <w:rPr>
        <w:rFonts w:hint="default"/>
        <w:lang w:val="en-US" w:eastAsia="en-US" w:bidi="ar-SA"/>
      </w:rPr>
    </w:lvl>
    <w:lvl w:ilvl="6" w:tplc="8D42882C">
      <w:numFmt w:val="bullet"/>
      <w:lvlText w:val="•"/>
      <w:lvlJc w:val="left"/>
      <w:pPr>
        <w:ind w:left="6255" w:hanging="360"/>
      </w:pPr>
      <w:rPr>
        <w:rFonts w:hint="default"/>
        <w:lang w:val="en-US" w:eastAsia="en-US" w:bidi="ar-SA"/>
      </w:rPr>
    </w:lvl>
    <w:lvl w:ilvl="7" w:tplc="7FBAA936">
      <w:numFmt w:val="bullet"/>
      <w:lvlText w:val="•"/>
      <w:lvlJc w:val="left"/>
      <w:pPr>
        <w:ind w:left="7218" w:hanging="360"/>
      </w:pPr>
      <w:rPr>
        <w:rFonts w:hint="default"/>
        <w:lang w:val="en-US" w:eastAsia="en-US" w:bidi="ar-SA"/>
      </w:rPr>
    </w:lvl>
    <w:lvl w:ilvl="8" w:tplc="1A3CC828">
      <w:numFmt w:val="bullet"/>
      <w:lvlText w:val="•"/>
      <w:lvlJc w:val="left"/>
      <w:pPr>
        <w:ind w:left="8181" w:hanging="360"/>
      </w:pPr>
      <w:rPr>
        <w:rFonts w:hint="default"/>
        <w:lang w:val="en-US" w:eastAsia="en-US" w:bidi="ar-SA"/>
      </w:rPr>
    </w:lvl>
  </w:abstractNum>
  <w:abstractNum w:abstractNumId="4" w15:restartNumberingAfterBreak="0">
    <w:nsid w:val="2FFD365C"/>
    <w:multiLevelType w:val="hybridMultilevel"/>
    <w:tmpl w:val="41302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A21C43"/>
    <w:multiLevelType w:val="hybridMultilevel"/>
    <w:tmpl w:val="98325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CB695D"/>
    <w:multiLevelType w:val="hybridMultilevel"/>
    <w:tmpl w:val="CD92EBBE"/>
    <w:lvl w:ilvl="0" w:tplc="87929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80A7D15"/>
    <w:multiLevelType w:val="hybridMultilevel"/>
    <w:tmpl w:val="C86421EE"/>
    <w:lvl w:ilvl="0" w:tplc="3EACDF7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48D13312"/>
    <w:multiLevelType w:val="hybridMultilevel"/>
    <w:tmpl w:val="EE9EB304"/>
    <w:lvl w:ilvl="0" w:tplc="3020B24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4CE9486B"/>
    <w:multiLevelType w:val="multilevel"/>
    <w:tmpl w:val="ECD8A97C"/>
    <w:lvl w:ilvl="0">
      <w:start w:val="1"/>
      <w:numFmt w:val="decimal"/>
      <w:pStyle w:val="AATlist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2C7A83"/>
    <w:multiLevelType w:val="hybridMultilevel"/>
    <w:tmpl w:val="9B34A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8F41C4"/>
    <w:multiLevelType w:val="hybridMultilevel"/>
    <w:tmpl w:val="78B40D5A"/>
    <w:lvl w:ilvl="0" w:tplc="C69AA02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27431F"/>
    <w:multiLevelType w:val="multilevel"/>
    <w:tmpl w:val="FFB2D8F8"/>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abstractNum w:abstractNumId="13" w15:restartNumberingAfterBreak="0">
    <w:nsid w:val="78942AB9"/>
    <w:multiLevelType w:val="hybridMultilevel"/>
    <w:tmpl w:val="2B04A878"/>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251424611">
    <w:abstractNumId w:val="12"/>
  </w:num>
  <w:num w:numId="2" w16cid:durableId="1471244879">
    <w:abstractNumId w:val="9"/>
  </w:num>
  <w:num w:numId="3" w16cid:durableId="1209219583">
    <w:abstractNumId w:val="0"/>
  </w:num>
  <w:num w:numId="4" w16cid:durableId="326635944">
    <w:abstractNumId w:val="13"/>
  </w:num>
  <w:num w:numId="5" w16cid:durableId="413746845">
    <w:abstractNumId w:val="6"/>
  </w:num>
  <w:num w:numId="6" w16cid:durableId="1596284113">
    <w:abstractNumId w:val="2"/>
  </w:num>
  <w:num w:numId="7" w16cid:durableId="44449176">
    <w:abstractNumId w:val="7"/>
  </w:num>
  <w:num w:numId="8" w16cid:durableId="1120883794">
    <w:abstractNumId w:val="8"/>
  </w:num>
  <w:num w:numId="9" w16cid:durableId="1492791792">
    <w:abstractNumId w:val="11"/>
  </w:num>
  <w:num w:numId="10" w16cid:durableId="2043239198">
    <w:abstractNumId w:val="1"/>
  </w:num>
  <w:num w:numId="11" w16cid:durableId="1562711619">
    <w:abstractNumId w:val="4"/>
  </w:num>
  <w:num w:numId="12" w16cid:durableId="309749979">
    <w:abstractNumId w:val="10"/>
  </w:num>
  <w:num w:numId="13" w16cid:durableId="353507251">
    <w:abstractNumId w:val="3"/>
  </w:num>
  <w:num w:numId="14" w16cid:durableId="8192281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5E"/>
    <w:rsid w:val="00031F10"/>
    <w:rsid w:val="00045464"/>
    <w:rsid w:val="00066203"/>
    <w:rsid w:val="000769F7"/>
    <w:rsid w:val="000A78D5"/>
    <w:rsid w:val="000A7D0F"/>
    <w:rsid w:val="000B3064"/>
    <w:rsid w:val="000C7BE2"/>
    <w:rsid w:val="000E7484"/>
    <w:rsid w:val="00101404"/>
    <w:rsid w:val="001468E6"/>
    <w:rsid w:val="00151707"/>
    <w:rsid w:val="001851E2"/>
    <w:rsid w:val="001A76AA"/>
    <w:rsid w:val="001D09A5"/>
    <w:rsid w:val="001D0C7A"/>
    <w:rsid w:val="001E3BAF"/>
    <w:rsid w:val="002162A2"/>
    <w:rsid w:val="00221B7E"/>
    <w:rsid w:val="002324FA"/>
    <w:rsid w:val="00237DDD"/>
    <w:rsid w:val="002458E2"/>
    <w:rsid w:val="0025461C"/>
    <w:rsid w:val="002578D2"/>
    <w:rsid w:val="0027492A"/>
    <w:rsid w:val="00286555"/>
    <w:rsid w:val="00297F0E"/>
    <w:rsid w:val="002A022C"/>
    <w:rsid w:val="002A1D44"/>
    <w:rsid w:val="002A5AD3"/>
    <w:rsid w:val="002B15C9"/>
    <w:rsid w:val="002D6363"/>
    <w:rsid w:val="0030513C"/>
    <w:rsid w:val="00310835"/>
    <w:rsid w:val="00312AD4"/>
    <w:rsid w:val="00342581"/>
    <w:rsid w:val="00366353"/>
    <w:rsid w:val="0038360E"/>
    <w:rsid w:val="003B2B90"/>
    <w:rsid w:val="003E3A57"/>
    <w:rsid w:val="003F01AE"/>
    <w:rsid w:val="00441E6B"/>
    <w:rsid w:val="00442A89"/>
    <w:rsid w:val="00450AFC"/>
    <w:rsid w:val="00450F13"/>
    <w:rsid w:val="004A07ED"/>
    <w:rsid w:val="004A2CAB"/>
    <w:rsid w:val="004B190B"/>
    <w:rsid w:val="004D4013"/>
    <w:rsid w:val="004F121F"/>
    <w:rsid w:val="004F2018"/>
    <w:rsid w:val="004F31A6"/>
    <w:rsid w:val="005033FF"/>
    <w:rsid w:val="00513295"/>
    <w:rsid w:val="005578B8"/>
    <w:rsid w:val="0057283B"/>
    <w:rsid w:val="00585DD9"/>
    <w:rsid w:val="0059290D"/>
    <w:rsid w:val="005A56BC"/>
    <w:rsid w:val="005C0BFB"/>
    <w:rsid w:val="005F226E"/>
    <w:rsid w:val="005F7699"/>
    <w:rsid w:val="006201ED"/>
    <w:rsid w:val="006236FF"/>
    <w:rsid w:val="00626A81"/>
    <w:rsid w:val="00631351"/>
    <w:rsid w:val="00637860"/>
    <w:rsid w:val="0066050C"/>
    <w:rsid w:val="00684875"/>
    <w:rsid w:val="00726913"/>
    <w:rsid w:val="007661CD"/>
    <w:rsid w:val="00781773"/>
    <w:rsid w:val="007825D3"/>
    <w:rsid w:val="007A0316"/>
    <w:rsid w:val="007A410F"/>
    <w:rsid w:val="007A59EA"/>
    <w:rsid w:val="007E2872"/>
    <w:rsid w:val="00800446"/>
    <w:rsid w:val="00803E15"/>
    <w:rsid w:val="00807EA1"/>
    <w:rsid w:val="00853C22"/>
    <w:rsid w:val="008572E7"/>
    <w:rsid w:val="00863C2A"/>
    <w:rsid w:val="0087752D"/>
    <w:rsid w:val="008959AB"/>
    <w:rsid w:val="008A2E6F"/>
    <w:rsid w:val="008D71CF"/>
    <w:rsid w:val="008F1729"/>
    <w:rsid w:val="00903C3D"/>
    <w:rsid w:val="00914998"/>
    <w:rsid w:val="0091500B"/>
    <w:rsid w:val="0092687C"/>
    <w:rsid w:val="00933CDC"/>
    <w:rsid w:val="00956910"/>
    <w:rsid w:val="00982357"/>
    <w:rsid w:val="00984B40"/>
    <w:rsid w:val="009A57C3"/>
    <w:rsid w:val="009B7F02"/>
    <w:rsid w:val="009C0D08"/>
    <w:rsid w:val="009C3ADE"/>
    <w:rsid w:val="009C47BD"/>
    <w:rsid w:val="00A47736"/>
    <w:rsid w:val="00AA6F92"/>
    <w:rsid w:val="00AB00B6"/>
    <w:rsid w:val="00AB6AF8"/>
    <w:rsid w:val="00B17C19"/>
    <w:rsid w:val="00B2244B"/>
    <w:rsid w:val="00B2434C"/>
    <w:rsid w:val="00B4469D"/>
    <w:rsid w:val="00B51581"/>
    <w:rsid w:val="00B57293"/>
    <w:rsid w:val="00B71912"/>
    <w:rsid w:val="00B81B09"/>
    <w:rsid w:val="00BB24A3"/>
    <w:rsid w:val="00BD560A"/>
    <w:rsid w:val="00BD5F77"/>
    <w:rsid w:val="00BE3E67"/>
    <w:rsid w:val="00BF59F0"/>
    <w:rsid w:val="00C04C4C"/>
    <w:rsid w:val="00C17855"/>
    <w:rsid w:val="00C2396E"/>
    <w:rsid w:val="00C63910"/>
    <w:rsid w:val="00C764E8"/>
    <w:rsid w:val="00C834EC"/>
    <w:rsid w:val="00C963B5"/>
    <w:rsid w:val="00CB301A"/>
    <w:rsid w:val="00CF211F"/>
    <w:rsid w:val="00D100EA"/>
    <w:rsid w:val="00D560F9"/>
    <w:rsid w:val="00D91994"/>
    <w:rsid w:val="00DC4567"/>
    <w:rsid w:val="00DC6F6B"/>
    <w:rsid w:val="00E03328"/>
    <w:rsid w:val="00E0764E"/>
    <w:rsid w:val="00E11A75"/>
    <w:rsid w:val="00E16E7D"/>
    <w:rsid w:val="00E36D7A"/>
    <w:rsid w:val="00E37741"/>
    <w:rsid w:val="00E644A9"/>
    <w:rsid w:val="00E9723E"/>
    <w:rsid w:val="00EC345E"/>
    <w:rsid w:val="00EC3DC4"/>
    <w:rsid w:val="00EC6EA9"/>
    <w:rsid w:val="00EF06CA"/>
    <w:rsid w:val="00F17116"/>
    <w:rsid w:val="00F17412"/>
    <w:rsid w:val="00F21E8E"/>
    <w:rsid w:val="00F3502D"/>
    <w:rsid w:val="00F61EB0"/>
    <w:rsid w:val="00F668C0"/>
    <w:rsid w:val="00FB102D"/>
    <w:rsid w:val="00FC595E"/>
    <w:rsid w:val="00FD62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79643"/>
  <w14:defaultImageDpi w14:val="32767"/>
  <w15:chartTrackingRefBased/>
  <w15:docId w15:val="{9E26E1AA-EED5-7E49-A669-FFF0809B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FC595E"/>
    <w:pPr>
      <w:spacing w:after="120" w:line="280" w:lineRule="atLeast"/>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FC5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95E"/>
    <w:rPr>
      <w:rFonts w:eastAsiaTheme="majorEastAsia" w:cstheme="majorBidi"/>
      <w:color w:val="272727" w:themeColor="text1" w:themeTint="D8"/>
    </w:rPr>
  </w:style>
  <w:style w:type="paragraph" w:styleId="Title">
    <w:name w:val="Title"/>
    <w:basedOn w:val="Normal"/>
    <w:next w:val="Normal"/>
    <w:link w:val="TitleChar"/>
    <w:uiPriority w:val="10"/>
    <w:qFormat/>
    <w:rsid w:val="00FC5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95E"/>
    <w:pPr>
      <w:spacing w:before="160"/>
      <w:jc w:val="center"/>
    </w:pPr>
    <w:rPr>
      <w:i/>
      <w:iCs/>
      <w:color w:val="404040" w:themeColor="text1" w:themeTint="BF"/>
    </w:rPr>
  </w:style>
  <w:style w:type="character" w:customStyle="1" w:styleId="QuoteChar">
    <w:name w:val="Quote Char"/>
    <w:basedOn w:val="DefaultParagraphFont"/>
    <w:link w:val="Quote"/>
    <w:uiPriority w:val="29"/>
    <w:rsid w:val="00FC595E"/>
    <w:rPr>
      <w:i/>
      <w:iCs/>
      <w:color w:val="404040" w:themeColor="text1" w:themeTint="BF"/>
    </w:rPr>
  </w:style>
  <w:style w:type="paragraph" w:styleId="ListParagraph">
    <w:name w:val="List Paragraph"/>
    <w:basedOn w:val="Normal"/>
    <w:uiPriority w:val="34"/>
    <w:qFormat/>
    <w:rsid w:val="00FC595E"/>
    <w:pPr>
      <w:ind w:left="720"/>
      <w:contextualSpacing/>
    </w:pPr>
  </w:style>
  <w:style w:type="character" w:styleId="IntenseEmphasis">
    <w:name w:val="Intense Emphasis"/>
    <w:basedOn w:val="DefaultParagraphFont"/>
    <w:uiPriority w:val="21"/>
    <w:qFormat/>
    <w:rsid w:val="00FC595E"/>
    <w:rPr>
      <w:i/>
      <w:iCs/>
      <w:color w:val="0F4761" w:themeColor="accent1" w:themeShade="BF"/>
    </w:rPr>
  </w:style>
  <w:style w:type="paragraph" w:styleId="IntenseQuote">
    <w:name w:val="Intense Quote"/>
    <w:basedOn w:val="Normal"/>
    <w:next w:val="Normal"/>
    <w:link w:val="IntenseQuoteChar"/>
    <w:uiPriority w:val="30"/>
    <w:qFormat/>
    <w:rsid w:val="00FC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95E"/>
    <w:rPr>
      <w:i/>
      <w:iCs/>
      <w:color w:val="0F4761" w:themeColor="accent1" w:themeShade="BF"/>
    </w:rPr>
  </w:style>
  <w:style w:type="character" w:styleId="IntenseReference">
    <w:name w:val="Intense Reference"/>
    <w:basedOn w:val="DefaultParagraphFont"/>
    <w:uiPriority w:val="32"/>
    <w:qFormat/>
    <w:rsid w:val="00FC595E"/>
    <w:rPr>
      <w:b/>
      <w:bCs/>
      <w:smallCaps/>
      <w:color w:val="0F4761" w:themeColor="accent1" w:themeShade="BF"/>
      <w:spacing w:val="5"/>
    </w:rPr>
  </w:style>
  <w:style w:type="paragraph" w:styleId="Footer">
    <w:name w:val="footer"/>
    <w:basedOn w:val="Normal"/>
    <w:link w:val="FooterChar"/>
    <w:uiPriority w:val="99"/>
    <w:unhideWhenUsed/>
    <w:rsid w:val="00FC595E"/>
    <w:pPr>
      <w:tabs>
        <w:tab w:val="center" w:pos="4513"/>
        <w:tab w:val="right" w:pos="9026"/>
      </w:tabs>
      <w:suppressAutoHyphens/>
      <w:spacing w:after="0" w:line="240" w:lineRule="auto"/>
    </w:pPr>
    <w:rPr>
      <w:spacing w:val="-3"/>
      <w:sz w:val="20"/>
      <w:szCs w:val="18"/>
    </w:rPr>
  </w:style>
  <w:style w:type="character" w:customStyle="1" w:styleId="FooterChar">
    <w:name w:val="Footer Char"/>
    <w:basedOn w:val="DefaultParagraphFont"/>
    <w:link w:val="Footer"/>
    <w:uiPriority w:val="99"/>
    <w:rsid w:val="00FC595E"/>
    <w:rPr>
      <w:rFonts w:eastAsiaTheme="minorHAnsi"/>
      <w:spacing w:val="-3"/>
      <w:kern w:val="0"/>
      <w:sz w:val="20"/>
      <w:szCs w:val="18"/>
      <w:lang w:eastAsia="en-US"/>
      <w14:ligatures w14:val="none"/>
    </w:rPr>
  </w:style>
  <w:style w:type="table" w:styleId="TableGrid">
    <w:name w:val="Table Grid"/>
    <w:basedOn w:val="TableNormal"/>
    <w:uiPriority w:val="39"/>
    <w:rsid w:val="00FC595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C595E"/>
    <w:pPr>
      <w:numPr>
        <w:numId w:val="1"/>
      </w:numPr>
    </w:pPr>
  </w:style>
  <w:style w:type="paragraph" w:styleId="TOC1">
    <w:name w:val="toc 1"/>
    <w:basedOn w:val="Normal"/>
    <w:next w:val="Normal"/>
    <w:autoRedefine/>
    <w:uiPriority w:val="39"/>
    <w:unhideWhenUsed/>
    <w:rsid w:val="00FC595E"/>
    <w:pPr>
      <w:pBdr>
        <w:top w:val="single" w:sz="4" w:space="1" w:color="0E2841" w:themeColor="text2"/>
      </w:pBdr>
      <w:tabs>
        <w:tab w:val="left" w:pos="567"/>
        <w:tab w:val="right" w:pos="10490"/>
      </w:tabs>
      <w:suppressAutoHyphens/>
      <w:spacing w:line="300" w:lineRule="atLeast"/>
    </w:pPr>
    <w:rPr>
      <w:b/>
      <w:noProof/>
      <w:sz w:val="24"/>
    </w:rPr>
  </w:style>
  <w:style w:type="character" w:styleId="Hyperlink">
    <w:name w:val="Hyperlink"/>
    <w:basedOn w:val="DefaultParagraphFont"/>
    <w:uiPriority w:val="99"/>
    <w:unhideWhenUsed/>
    <w:rsid w:val="00FC595E"/>
    <w:rPr>
      <w:color w:val="467886" w:themeColor="hyperlink"/>
      <w:u w:val="single"/>
    </w:rPr>
  </w:style>
  <w:style w:type="paragraph" w:customStyle="1" w:styleId="AATheading1">
    <w:name w:val="AAT heading 1"/>
    <w:basedOn w:val="Heading1"/>
    <w:next w:val="Normal"/>
    <w:qFormat/>
    <w:rsid w:val="00FC595E"/>
    <w:pPr>
      <w:suppressAutoHyphens/>
      <w:spacing w:before="0" w:after="200" w:line="440" w:lineRule="atLeast"/>
      <w:ind w:left="567" w:hanging="567"/>
    </w:pPr>
    <w:rPr>
      <w:color w:val="auto"/>
      <w:sz w:val="36"/>
      <w:szCs w:val="32"/>
    </w:rPr>
  </w:style>
  <w:style w:type="paragraph" w:customStyle="1" w:styleId="AATheading2">
    <w:name w:val="AAT heading 2"/>
    <w:basedOn w:val="Heading2"/>
    <w:next w:val="Normal"/>
    <w:qFormat/>
    <w:rsid w:val="00FC595E"/>
    <w:pPr>
      <w:numPr>
        <w:ilvl w:val="1"/>
      </w:numPr>
      <w:suppressAutoHyphens/>
      <w:spacing w:before="200" w:after="120" w:line="300" w:lineRule="atLeast"/>
      <w:ind w:left="567" w:hanging="567"/>
    </w:pPr>
    <w:rPr>
      <w:color w:val="auto"/>
      <w:sz w:val="24"/>
      <w:szCs w:val="26"/>
    </w:rPr>
  </w:style>
  <w:style w:type="paragraph" w:customStyle="1" w:styleId="AATheading3">
    <w:name w:val="AAT heading 3"/>
    <w:basedOn w:val="Heading3"/>
    <w:next w:val="Normal"/>
    <w:qFormat/>
    <w:rsid w:val="00FC595E"/>
    <w:pPr>
      <w:numPr>
        <w:ilvl w:val="2"/>
      </w:numPr>
      <w:suppressAutoHyphens/>
      <w:spacing w:before="180" w:after="120" w:line="300" w:lineRule="atLeast"/>
      <w:ind w:left="1702" w:hanging="851"/>
    </w:pPr>
    <w:rPr>
      <w:rFonts w:asciiTheme="majorHAnsi" w:hAnsiTheme="majorHAnsi"/>
      <w:color w:val="auto"/>
      <w:sz w:val="24"/>
      <w:szCs w:val="26"/>
    </w:rPr>
  </w:style>
  <w:style w:type="paragraph" w:customStyle="1" w:styleId="AATheading4">
    <w:name w:val="AAT heading 4"/>
    <w:basedOn w:val="Heading4"/>
    <w:next w:val="AATbodytext"/>
    <w:qFormat/>
    <w:rsid w:val="00FC595E"/>
    <w:pPr>
      <w:suppressAutoHyphens/>
      <w:spacing w:before="0" w:after="1280" w:line="560" w:lineRule="atLeast"/>
    </w:pPr>
    <w:rPr>
      <w:rFonts w:asciiTheme="majorHAnsi" w:hAnsiTheme="majorHAnsi"/>
      <w:i w:val="0"/>
      <w:iCs w:val="0"/>
      <w:color w:val="auto"/>
      <w:sz w:val="48"/>
      <w:szCs w:val="32"/>
    </w:rPr>
  </w:style>
  <w:style w:type="paragraph" w:customStyle="1" w:styleId="AATbodytext">
    <w:name w:val="AAT body text"/>
    <w:basedOn w:val="Normal"/>
    <w:qFormat/>
    <w:rsid w:val="00FC595E"/>
    <w:pPr>
      <w:suppressAutoHyphens/>
      <w:spacing w:after="0" w:line="240" w:lineRule="atLeast"/>
    </w:pPr>
    <w:rPr>
      <w:sz w:val="24"/>
    </w:rPr>
  </w:style>
  <w:style w:type="paragraph" w:customStyle="1" w:styleId="AATbodytextbold">
    <w:name w:val="AAT body text bold"/>
    <w:basedOn w:val="AATbodytext"/>
    <w:qFormat/>
    <w:rsid w:val="00FC595E"/>
    <w:rPr>
      <w:b/>
      <w:bCs/>
    </w:rPr>
  </w:style>
  <w:style w:type="paragraph" w:customStyle="1" w:styleId="AATlistbulletindent">
    <w:name w:val="AAT list bullet indent"/>
    <w:basedOn w:val="Normal"/>
    <w:rsid w:val="00FC595E"/>
    <w:pPr>
      <w:numPr>
        <w:numId w:val="2"/>
      </w:numPr>
      <w:suppressAutoHyphens/>
      <w:ind w:left="910" w:hanging="357"/>
    </w:pPr>
    <w:rPr>
      <w:sz w:val="24"/>
    </w:rPr>
  </w:style>
  <w:style w:type="paragraph" w:customStyle="1" w:styleId="AATtitle">
    <w:name w:val="AAT title"/>
    <w:basedOn w:val="Title"/>
    <w:qFormat/>
    <w:rsid w:val="00FC595E"/>
    <w:pPr>
      <w:suppressAutoHyphens/>
      <w:spacing w:after="0" w:line="1020" w:lineRule="exact"/>
    </w:pPr>
    <w:rPr>
      <w:b/>
      <w:spacing w:val="0"/>
      <w:sz w:val="96"/>
    </w:rPr>
  </w:style>
  <w:style w:type="paragraph" w:styleId="Header">
    <w:name w:val="header"/>
    <w:basedOn w:val="Normal"/>
    <w:link w:val="HeaderChar"/>
    <w:uiPriority w:val="99"/>
    <w:unhideWhenUsed/>
    <w:rsid w:val="00C83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EC"/>
    <w:rPr>
      <w:rFonts w:eastAsiaTheme="minorHAnsi"/>
      <w:kern w:val="0"/>
      <w:sz w:val="22"/>
      <w:szCs w:val="22"/>
      <w:lang w:eastAsia="en-US"/>
      <w14:ligatures w14:val="none"/>
    </w:rPr>
  </w:style>
  <w:style w:type="paragraph" w:customStyle="1" w:styleId="Default">
    <w:name w:val="Default"/>
    <w:rsid w:val="00803E15"/>
    <w:pPr>
      <w:autoSpaceDE w:val="0"/>
      <w:autoSpaceDN w:val="0"/>
      <w:adjustRightInd w:val="0"/>
      <w:spacing w:after="0" w:line="240" w:lineRule="auto"/>
    </w:pPr>
    <w:rPr>
      <w:rFonts w:ascii="Arial" w:hAnsi="Arial" w:cs="Arial"/>
      <w:color w:val="000000"/>
      <w:kern w:val="0"/>
    </w:rPr>
  </w:style>
  <w:style w:type="table" w:styleId="GridTable6Colorful">
    <w:name w:val="Grid Table 6 Colorful"/>
    <w:basedOn w:val="TableNormal"/>
    <w:uiPriority w:val="51"/>
    <w:rsid w:val="003051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051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30513C"/>
  </w:style>
  <w:style w:type="paragraph" w:customStyle="1" w:styleId="p1">
    <w:name w:val="p1"/>
    <w:basedOn w:val="Normal"/>
    <w:rsid w:val="007661CD"/>
    <w:pPr>
      <w:spacing w:after="0" w:line="240" w:lineRule="auto"/>
    </w:pPr>
    <w:rPr>
      <w:rFonts w:ascii="Arial" w:eastAsia="Times New Roman" w:hAnsi="Arial" w:cs="Arial"/>
      <w:color w:val="000000"/>
      <w:sz w:val="17"/>
      <w:szCs w:val="17"/>
      <w:lang w:eastAsia="en-GB"/>
    </w:rPr>
  </w:style>
  <w:style w:type="character" w:customStyle="1" w:styleId="s1">
    <w:name w:val="s1"/>
    <w:basedOn w:val="DefaultParagraphFont"/>
    <w:rsid w:val="00D91994"/>
    <w:rPr>
      <w:rFonts w:ascii="Arial" w:hAnsi="Arial" w:cs="Arial" w:hint="default"/>
      <w:sz w:val="18"/>
      <w:szCs w:val="18"/>
    </w:rPr>
  </w:style>
  <w:style w:type="character" w:customStyle="1" w:styleId="s2">
    <w:name w:val="s2"/>
    <w:basedOn w:val="DefaultParagraphFont"/>
    <w:rsid w:val="00D91994"/>
    <w:rPr>
      <w:color w:val="0000FF"/>
    </w:rPr>
  </w:style>
  <w:style w:type="paragraph" w:customStyle="1" w:styleId="p2">
    <w:name w:val="p2"/>
    <w:basedOn w:val="Normal"/>
    <w:rsid w:val="002324FA"/>
    <w:pPr>
      <w:spacing w:after="0" w:line="240" w:lineRule="auto"/>
    </w:pPr>
    <w:rPr>
      <w:rFonts w:ascii="Helvetica" w:eastAsia="Times New Roman" w:hAnsi="Helvetica" w:cs="Times New Roman"/>
      <w:color w:val="000000"/>
      <w:sz w:val="15"/>
      <w:szCs w:val="15"/>
      <w:lang w:eastAsia="en-GB"/>
    </w:rPr>
  </w:style>
  <w:style w:type="character" w:customStyle="1" w:styleId="s3">
    <w:name w:val="s3"/>
    <w:basedOn w:val="DefaultParagraphFont"/>
    <w:rsid w:val="002324FA"/>
    <w:rPr>
      <w:rFonts w:ascii="Helvetica" w:hAnsi="Helvetica" w:hint="default"/>
      <w:sz w:val="17"/>
      <w:szCs w:val="17"/>
    </w:rPr>
  </w:style>
  <w:style w:type="character" w:customStyle="1" w:styleId="s4">
    <w:name w:val="s4"/>
    <w:basedOn w:val="DefaultParagraphFont"/>
    <w:rsid w:val="002324FA"/>
    <w:rPr>
      <w:rFonts w:ascii="Helvetica" w:hAnsi="Helvetica" w:hint="default"/>
      <w:sz w:val="11"/>
      <w:szCs w:val="11"/>
    </w:rPr>
  </w:style>
  <w:style w:type="character" w:customStyle="1" w:styleId="s5">
    <w:name w:val="s5"/>
    <w:basedOn w:val="DefaultParagraphFont"/>
    <w:rsid w:val="002324FA"/>
    <w:rPr>
      <w:rFonts w:ascii="Helvetica" w:hAnsi="Helvetica" w:hint="default"/>
      <w:sz w:val="15"/>
      <w:szCs w:val="15"/>
    </w:rPr>
  </w:style>
  <w:style w:type="paragraph" w:styleId="BodyText">
    <w:name w:val="Body Text"/>
    <w:basedOn w:val="Normal"/>
    <w:link w:val="BodyTextChar"/>
    <w:uiPriority w:val="1"/>
    <w:qFormat/>
    <w:rsid w:val="003F01AE"/>
    <w:pPr>
      <w:widowControl w:val="0"/>
      <w:autoSpaceDE w:val="0"/>
      <w:autoSpaceDN w:val="0"/>
      <w:spacing w:after="0" w:line="240" w:lineRule="auto"/>
    </w:pPr>
    <w:rPr>
      <w:rFonts w:ascii="Arial Unicode MS" w:eastAsia="Arial Unicode MS" w:hAnsi="Arial Unicode MS" w:cs="Arial Unicode MS"/>
      <w:lang w:val="en-US"/>
    </w:rPr>
  </w:style>
  <w:style w:type="character" w:customStyle="1" w:styleId="BodyTextChar">
    <w:name w:val="Body Text Char"/>
    <w:basedOn w:val="DefaultParagraphFont"/>
    <w:link w:val="BodyText"/>
    <w:uiPriority w:val="1"/>
    <w:rsid w:val="003F01AE"/>
    <w:rPr>
      <w:rFonts w:ascii="Arial Unicode MS" w:eastAsia="Arial Unicode MS" w:hAnsi="Arial Unicode MS" w:cs="Arial Unicode MS"/>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511</Words>
  <Characters>3165</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Boustred</dc:creator>
  <cp:keywords/>
  <dc:description/>
  <cp:lastModifiedBy>Mark Simpson</cp:lastModifiedBy>
  <cp:revision>4</cp:revision>
  <dcterms:created xsi:type="dcterms:W3CDTF">2025-10-03T08:16:00Z</dcterms:created>
  <dcterms:modified xsi:type="dcterms:W3CDTF">2025-10-03T08:55:00Z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09db2d63-84f0-4f02-a285-253e697aa487</vt:lpwstr>
  </property>
</Properties>
</file>